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91" w:rsidRDefault="00475691" w:rsidP="00475691">
      <w:pPr>
        <w:jc w:val="center"/>
        <w:rPr>
          <w:rFonts w:asciiTheme="majorHAnsi" w:eastAsia="Times New Roman" w:hAnsiTheme="majorHAnsi" w:cs="Times New Roman"/>
          <w:b/>
          <w:szCs w:val="24"/>
          <w:u w:val="single"/>
        </w:rPr>
      </w:pPr>
      <w:bookmarkStart w:id="0" w:name="_GoBack"/>
      <w:bookmarkEnd w:id="0"/>
    </w:p>
    <w:p w:rsidR="002C0214" w:rsidRDefault="002C0214" w:rsidP="00475691">
      <w:pPr>
        <w:jc w:val="center"/>
        <w:rPr>
          <w:rFonts w:asciiTheme="majorHAnsi" w:eastAsia="Times New Roman" w:hAnsiTheme="majorHAnsi" w:cs="Times New Roman"/>
          <w:b/>
          <w:szCs w:val="24"/>
          <w:u w:val="single"/>
        </w:rPr>
      </w:pPr>
    </w:p>
    <w:p w:rsidR="002C0214" w:rsidRDefault="002C0214" w:rsidP="00475691">
      <w:pPr>
        <w:jc w:val="center"/>
        <w:rPr>
          <w:rFonts w:asciiTheme="majorHAnsi" w:eastAsia="Times New Roman" w:hAnsiTheme="majorHAnsi" w:cs="Times New Roman"/>
          <w:b/>
          <w:szCs w:val="24"/>
          <w:u w:val="single"/>
        </w:rPr>
      </w:pPr>
    </w:p>
    <w:p w:rsidR="002C0214" w:rsidRDefault="002C0214" w:rsidP="00475691">
      <w:pPr>
        <w:jc w:val="center"/>
        <w:rPr>
          <w:rFonts w:asciiTheme="majorHAnsi" w:eastAsia="Times New Roman" w:hAnsiTheme="majorHAnsi" w:cs="Times New Roman"/>
          <w:b/>
          <w:szCs w:val="24"/>
          <w:u w:val="single"/>
        </w:rPr>
      </w:pPr>
    </w:p>
    <w:p w:rsidR="002C0214" w:rsidRDefault="002C0214" w:rsidP="00475691">
      <w:pPr>
        <w:jc w:val="center"/>
        <w:rPr>
          <w:rFonts w:asciiTheme="majorHAnsi" w:eastAsia="Times New Roman" w:hAnsiTheme="majorHAnsi" w:cs="Times New Roman"/>
          <w:b/>
          <w:szCs w:val="24"/>
          <w:u w:val="single"/>
        </w:rPr>
      </w:pPr>
    </w:p>
    <w:p w:rsidR="00A06FB9" w:rsidRDefault="00A06FB9" w:rsidP="00475691">
      <w:pPr>
        <w:jc w:val="center"/>
        <w:rPr>
          <w:rFonts w:asciiTheme="majorHAnsi" w:eastAsia="Times New Roman" w:hAnsiTheme="majorHAnsi" w:cs="Times New Roman"/>
          <w:b/>
          <w:szCs w:val="24"/>
          <w:u w:val="single"/>
        </w:rPr>
      </w:pPr>
    </w:p>
    <w:p w:rsidR="00A06FB9" w:rsidRPr="002C0214" w:rsidRDefault="00A06FB9" w:rsidP="00A06FB9">
      <w:pPr>
        <w:rPr>
          <w:rFonts w:asciiTheme="majorHAnsi" w:eastAsia="Times New Roman" w:hAnsiTheme="majorHAnsi" w:cs="Times New Roman"/>
          <w:b/>
          <w:szCs w:val="24"/>
          <w:u w:val="single"/>
        </w:rPr>
      </w:pPr>
    </w:p>
    <w:p w:rsidR="00475691" w:rsidRPr="002C0214" w:rsidRDefault="00475691" w:rsidP="00475691">
      <w:pPr>
        <w:jc w:val="center"/>
        <w:rPr>
          <w:rFonts w:asciiTheme="majorHAnsi" w:eastAsia="Times New Roman" w:hAnsiTheme="majorHAnsi" w:cs="Times New Roman"/>
          <w:b/>
          <w:szCs w:val="24"/>
          <w:u w:val="single"/>
        </w:rPr>
      </w:pPr>
    </w:p>
    <w:p w:rsidR="00475691" w:rsidRPr="002C0214" w:rsidRDefault="00475691" w:rsidP="00475691">
      <w:pPr>
        <w:spacing w:after="140"/>
        <w:jc w:val="center"/>
        <w:rPr>
          <w:rFonts w:asciiTheme="majorHAnsi" w:eastAsia="Times New Roman" w:hAnsiTheme="majorHAnsi" w:cs="Times New Roman"/>
          <w:b/>
          <w:sz w:val="28"/>
          <w:szCs w:val="28"/>
        </w:rPr>
      </w:pPr>
      <w:r w:rsidRPr="002C0214">
        <w:rPr>
          <w:rFonts w:asciiTheme="majorHAnsi" w:eastAsia="Times New Roman" w:hAnsiTheme="majorHAnsi" w:cs="Times New Roman"/>
          <w:b/>
          <w:sz w:val="28"/>
          <w:szCs w:val="28"/>
        </w:rPr>
        <w:t xml:space="preserve">Senate Committee on </w:t>
      </w:r>
      <w:r w:rsidR="00A57909">
        <w:rPr>
          <w:rFonts w:asciiTheme="majorHAnsi" w:eastAsia="Times New Roman" w:hAnsiTheme="majorHAnsi" w:cs="Times New Roman"/>
          <w:b/>
          <w:sz w:val="28"/>
          <w:szCs w:val="28"/>
        </w:rPr>
        <w:t>Veteran</w:t>
      </w:r>
      <w:r w:rsidRPr="002C0214">
        <w:rPr>
          <w:rFonts w:asciiTheme="majorHAnsi" w:eastAsia="Times New Roman" w:hAnsiTheme="majorHAnsi" w:cs="Times New Roman"/>
          <w:b/>
          <w:sz w:val="28"/>
          <w:szCs w:val="28"/>
        </w:rPr>
        <w:t>s Affairs</w:t>
      </w:r>
    </w:p>
    <w:p w:rsidR="00475691" w:rsidRPr="00475691" w:rsidRDefault="00475691" w:rsidP="00475691">
      <w:pPr>
        <w:jc w:val="center"/>
        <w:rPr>
          <w:rFonts w:asciiTheme="majorHAnsi" w:eastAsia="Times New Roman" w:hAnsiTheme="majorHAnsi" w:cs="Times New Roman"/>
          <w:b/>
          <w:sz w:val="28"/>
          <w:szCs w:val="28"/>
        </w:rPr>
      </w:pPr>
      <w:r w:rsidRPr="00475691">
        <w:rPr>
          <w:rFonts w:asciiTheme="majorHAnsi" w:eastAsia="Times New Roman" w:hAnsiTheme="majorHAnsi" w:cs="Times New Roman"/>
          <w:b/>
          <w:sz w:val="28"/>
          <w:szCs w:val="28"/>
        </w:rPr>
        <w:t xml:space="preserve">Assembly Committee on </w:t>
      </w:r>
      <w:r w:rsidR="00A57909">
        <w:rPr>
          <w:rFonts w:asciiTheme="majorHAnsi" w:eastAsia="Times New Roman" w:hAnsiTheme="majorHAnsi" w:cs="Times New Roman"/>
          <w:b/>
          <w:sz w:val="28"/>
          <w:szCs w:val="28"/>
        </w:rPr>
        <w:t>Veteran</w:t>
      </w:r>
      <w:r w:rsidRPr="00475691">
        <w:rPr>
          <w:rFonts w:asciiTheme="majorHAnsi" w:eastAsia="Times New Roman" w:hAnsiTheme="majorHAnsi" w:cs="Times New Roman"/>
          <w:b/>
          <w:sz w:val="28"/>
          <w:szCs w:val="28"/>
        </w:rPr>
        <w:t xml:space="preserve">s Affairs </w:t>
      </w:r>
    </w:p>
    <w:p w:rsidR="00475691" w:rsidRPr="002C0214" w:rsidRDefault="00475691" w:rsidP="00475691">
      <w:pPr>
        <w:jc w:val="center"/>
        <w:rPr>
          <w:rFonts w:asciiTheme="majorHAnsi" w:eastAsia="Times New Roman" w:hAnsiTheme="majorHAnsi" w:cs="Times New Roman"/>
          <w:b/>
          <w:szCs w:val="24"/>
        </w:rPr>
      </w:pPr>
    </w:p>
    <w:p w:rsidR="00475691" w:rsidRPr="002C0214" w:rsidRDefault="00475691" w:rsidP="00475691">
      <w:pPr>
        <w:spacing w:after="80"/>
        <w:jc w:val="center"/>
        <w:rPr>
          <w:rFonts w:asciiTheme="majorHAnsi" w:eastAsia="Times New Roman" w:hAnsiTheme="majorHAnsi" w:cs="Times New Roman"/>
          <w:b/>
          <w:szCs w:val="24"/>
        </w:rPr>
      </w:pPr>
      <w:r w:rsidRPr="002C0214">
        <w:rPr>
          <w:rFonts w:asciiTheme="majorHAnsi" w:eastAsia="Times New Roman" w:hAnsiTheme="majorHAnsi" w:cs="Times New Roman"/>
          <w:b/>
          <w:szCs w:val="24"/>
        </w:rPr>
        <w:t>Joint Informational Hearing:</w:t>
      </w:r>
    </w:p>
    <w:p w:rsidR="00475691" w:rsidRPr="002C0214" w:rsidRDefault="00475691" w:rsidP="00475691">
      <w:pPr>
        <w:widowControl w:val="0"/>
        <w:jc w:val="center"/>
        <w:rPr>
          <w:rFonts w:asciiTheme="majorHAnsi" w:hAnsiTheme="majorHAnsi"/>
          <w:b/>
          <w:szCs w:val="24"/>
        </w:rPr>
      </w:pPr>
      <w:r w:rsidRPr="002C0214">
        <w:rPr>
          <w:rFonts w:asciiTheme="majorHAnsi" w:hAnsiTheme="majorHAnsi"/>
          <w:b/>
          <w:szCs w:val="24"/>
        </w:rPr>
        <w:t xml:space="preserve">California Department of </w:t>
      </w:r>
      <w:r w:rsidR="00A57909">
        <w:rPr>
          <w:rFonts w:asciiTheme="majorHAnsi" w:hAnsiTheme="majorHAnsi"/>
          <w:b/>
          <w:szCs w:val="24"/>
        </w:rPr>
        <w:t>Veteran</w:t>
      </w:r>
      <w:r w:rsidRPr="002C0214">
        <w:rPr>
          <w:rFonts w:asciiTheme="majorHAnsi" w:hAnsiTheme="majorHAnsi"/>
          <w:b/>
          <w:szCs w:val="24"/>
        </w:rPr>
        <w:t>s Affairs Policy Priorities for Year 2017</w:t>
      </w:r>
    </w:p>
    <w:p w:rsidR="00475691" w:rsidRPr="00475691" w:rsidRDefault="00475691" w:rsidP="00475691">
      <w:pPr>
        <w:jc w:val="center"/>
        <w:rPr>
          <w:rFonts w:asciiTheme="majorHAnsi" w:eastAsia="Times New Roman" w:hAnsiTheme="majorHAnsi" w:cs="Times New Roman"/>
          <w:b/>
          <w:szCs w:val="24"/>
        </w:rPr>
      </w:pPr>
    </w:p>
    <w:p w:rsidR="00475691" w:rsidRPr="00475691" w:rsidRDefault="00475691" w:rsidP="00475691">
      <w:pPr>
        <w:rPr>
          <w:rFonts w:asciiTheme="majorHAnsi" w:eastAsia="Times New Roman" w:hAnsiTheme="majorHAnsi" w:cs="Times New Roman"/>
          <w:b/>
          <w:szCs w:val="24"/>
          <w:u w:val="single"/>
        </w:rPr>
      </w:pPr>
    </w:p>
    <w:p w:rsidR="00475691" w:rsidRDefault="00475691" w:rsidP="00475691">
      <w:pPr>
        <w:rPr>
          <w:rFonts w:asciiTheme="majorHAnsi" w:eastAsia="Times New Roman" w:hAnsiTheme="majorHAnsi" w:cs="Times New Roman"/>
          <w:b/>
          <w:szCs w:val="24"/>
          <w:u w:val="single"/>
        </w:rPr>
      </w:pPr>
    </w:p>
    <w:p w:rsidR="002C0214" w:rsidRPr="00475691" w:rsidRDefault="002C0214" w:rsidP="00475691">
      <w:pPr>
        <w:rPr>
          <w:rFonts w:asciiTheme="majorHAnsi" w:eastAsia="Times New Roman" w:hAnsiTheme="majorHAnsi" w:cs="Times New Roman"/>
          <w:b/>
          <w:szCs w:val="24"/>
          <w:u w:val="single"/>
        </w:rPr>
      </w:pPr>
    </w:p>
    <w:p w:rsidR="00475691" w:rsidRPr="00475691" w:rsidRDefault="002C0214" w:rsidP="00475691">
      <w:pPr>
        <w:jc w:val="center"/>
        <w:rPr>
          <w:rFonts w:asciiTheme="majorHAnsi" w:eastAsia="Times New Roman" w:hAnsiTheme="majorHAnsi" w:cs="Times New Roman"/>
          <w:b/>
          <w:szCs w:val="24"/>
        </w:rPr>
      </w:pPr>
      <w:r w:rsidRPr="00C419E5">
        <w:rPr>
          <w:rFonts w:asciiTheme="majorHAnsi" w:eastAsia="Times New Roman" w:hAnsiTheme="majorHAnsi" w:cs="Times New Roman"/>
          <w:b/>
          <w:szCs w:val="24"/>
        </w:rPr>
        <w:t>Background Information</w:t>
      </w:r>
    </w:p>
    <w:p w:rsidR="00475691" w:rsidRPr="00475691" w:rsidRDefault="00475691" w:rsidP="002C0214">
      <w:pPr>
        <w:rPr>
          <w:rFonts w:asciiTheme="majorHAnsi" w:eastAsia="Times New Roman" w:hAnsiTheme="majorHAnsi" w:cs="Times New Roman"/>
          <w:b/>
          <w:szCs w:val="24"/>
          <w:u w:val="single"/>
        </w:rPr>
      </w:pPr>
    </w:p>
    <w:p w:rsidR="00475691" w:rsidRPr="00475691" w:rsidRDefault="00475691" w:rsidP="002C0214">
      <w:pPr>
        <w:rPr>
          <w:rFonts w:asciiTheme="majorHAnsi" w:eastAsia="Times New Roman" w:hAnsiTheme="majorHAnsi" w:cs="Times New Roman"/>
          <w:b/>
          <w:szCs w:val="24"/>
          <w:u w:val="single"/>
        </w:rPr>
      </w:pPr>
    </w:p>
    <w:p w:rsidR="00475691" w:rsidRPr="00475691" w:rsidRDefault="00475691" w:rsidP="002C0214">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b/>
          <w:szCs w:val="24"/>
        </w:rPr>
      </w:pPr>
      <w:r w:rsidRPr="00475691">
        <w:rPr>
          <w:rFonts w:asciiTheme="majorHAnsi" w:eastAsia="Times New Roman" w:hAnsiTheme="majorHAnsi" w:cs="Times New Roman"/>
          <w:b/>
          <w:szCs w:val="24"/>
        </w:rPr>
        <w:t>Overview</w:t>
      </w:r>
    </w:p>
    <w:p w:rsidR="00475691" w:rsidRPr="00475691" w:rsidRDefault="00475691" w:rsidP="00475691">
      <w:pPr>
        <w:rPr>
          <w:rFonts w:asciiTheme="majorHAnsi" w:eastAsia="Times New Roman" w:hAnsiTheme="majorHAnsi" w:cs="Times New Roman"/>
          <w:szCs w:val="24"/>
        </w:rPr>
      </w:pPr>
    </w:p>
    <w:p w:rsidR="00475691" w:rsidRPr="00475691" w:rsidRDefault="002C0214" w:rsidP="00475691">
      <w:pPr>
        <w:rPr>
          <w:rFonts w:asciiTheme="majorHAnsi" w:eastAsia="Times New Roman" w:hAnsiTheme="majorHAnsi" w:cs="Times New Roman"/>
          <w:szCs w:val="24"/>
        </w:rPr>
      </w:pPr>
      <w:r w:rsidRPr="002C0214">
        <w:rPr>
          <w:rFonts w:asciiTheme="majorHAnsi" w:eastAsia="Times New Roman" w:hAnsiTheme="majorHAnsi" w:cs="Times New Roman"/>
          <w:szCs w:val="24"/>
        </w:rPr>
        <w:t xml:space="preserve">The </w:t>
      </w:r>
      <w:r>
        <w:rPr>
          <w:rFonts w:asciiTheme="majorHAnsi" w:eastAsia="Times New Roman" w:hAnsiTheme="majorHAnsi" w:cs="Times New Roman"/>
          <w:szCs w:val="24"/>
        </w:rPr>
        <w:t xml:space="preserve">CA </w:t>
      </w:r>
      <w:r w:rsidRPr="002C0214">
        <w:rPr>
          <w:rFonts w:asciiTheme="majorHAnsi" w:eastAsia="Times New Roman" w:hAnsiTheme="majorHAnsi" w:cs="Times New Roman"/>
          <w:szCs w:val="24"/>
        </w:rPr>
        <w:t xml:space="preserve">Department of </w:t>
      </w:r>
      <w:r w:rsidR="00A57909">
        <w:rPr>
          <w:rFonts w:asciiTheme="majorHAnsi" w:eastAsia="Times New Roman" w:hAnsiTheme="majorHAnsi" w:cs="Times New Roman"/>
          <w:szCs w:val="24"/>
        </w:rPr>
        <w:t>Veteran</w:t>
      </w:r>
      <w:r w:rsidRPr="002C0214">
        <w:rPr>
          <w:rFonts w:asciiTheme="majorHAnsi" w:eastAsia="Times New Roman" w:hAnsiTheme="majorHAnsi" w:cs="Times New Roman"/>
          <w:szCs w:val="24"/>
        </w:rPr>
        <w:t>s Affairs</w:t>
      </w:r>
      <w:r>
        <w:rPr>
          <w:rFonts w:asciiTheme="majorHAnsi" w:eastAsia="Times New Roman" w:hAnsiTheme="majorHAnsi" w:cs="Times New Roman"/>
          <w:szCs w:val="24"/>
        </w:rPr>
        <w:t xml:space="preserve"> (CalVet) </w:t>
      </w:r>
      <w:r w:rsidR="00475691" w:rsidRPr="00475691">
        <w:rPr>
          <w:rFonts w:asciiTheme="majorHAnsi" w:eastAsia="Times New Roman" w:hAnsiTheme="majorHAnsi" w:cs="Times New Roman"/>
          <w:szCs w:val="24"/>
        </w:rPr>
        <w:t xml:space="preserve">provides services to California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and their dependents, and </w:t>
      </w:r>
      <w:r>
        <w:rPr>
          <w:rFonts w:asciiTheme="majorHAnsi" w:eastAsia="Times New Roman" w:hAnsiTheme="majorHAnsi" w:cs="Times New Roman"/>
          <w:szCs w:val="24"/>
        </w:rPr>
        <w:t xml:space="preserve">also </w:t>
      </w:r>
      <w:r w:rsidR="00475691" w:rsidRPr="00475691">
        <w:rPr>
          <w:rFonts w:asciiTheme="majorHAnsi" w:eastAsia="Times New Roman" w:hAnsiTheme="majorHAnsi" w:cs="Times New Roman"/>
          <w:szCs w:val="24"/>
        </w:rPr>
        <w:t xml:space="preserve">to eligible members of the California National Guard. The principle activities of CalVet include: </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numPr>
          <w:ilvl w:val="0"/>
          <w:numId w:val="5"/>
        </w:numPr>
        <w:ind w:left="72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Operating </w:t>
      </w:r>
      <w:r w:rsidR="002C0214">
        <w:rPr>
          <w:rFonts w:asciiTheme="majorHAnsi" w:eastAsia="Times New Roman" w:hAnsiTheme="majorHAnsi" w:cs="Times New Roman"/>
          <w:szCs w:val="24"/>
        </w:rPr>
        <w:t xml:space="preserve">the </w:t>
      </w:r>
      <w:r w:rsidR="00A57909">
        <w:rPr>
          <w:rFonts w:asciiTheme="majorHAnsi" w:eastAsia="Times New Roman" w:hAnsiTheme="majorHAnsi" w:cs="Times New Roman"/>
          <w:szCs w:val="24"/>
        </w:rPr>
        <w:t>Veteran</w:t>
      </w:r>
      <w:r w:rsidR="002C0214">
        <w:rPr>
          <w:rFonts w:asciiTheme="majorHAnsi" w:eastAsia="Times New Roman" w:hAnsiTheme="majorHAnsi" w:cs="Times New Roman"/>
          <w:szCs w:val="24"/>
        </w:rPr>
        <w:t>s Home</w:t>
      </w:r>
      <w:r w:rsidR="0077250D">
        <w:rPr>
          <w:rFonts w:asciiTheme="majorHAnsi" w:eastAsia="Times New Roman" w:hAnsiTheme="majorHAnsi" w:cs="Times New Roman"/>
          <w:szCs w:val="24"/>
        </w:rPr>
        <w:t>s</w:t>
      </w:r>
      <w:r w:rsidR="002C0214">
        <w:rPr>
          <w:rFonts w:asciiTheme="majorHAnsi" w:eastAsia="Times New Roman" w:hAnsiTheme="majorHAnsi" w:cs="Times New Roman"/>
          <w:szCs w:val="24"/>
        </w:rPr>
        <w:t xml:space="preserve"> of California</w:t>
      </w:r>
      <w:r w:rsidR="0077250D">
        <w:rPr>
          <w:rFonts w:asciiTheme="majorHAnsi" w:eastAsia="Times New Roman" w:hAnsiTheme="majorHAnsi" w:cs="Times New Roman"/>
          <w:szCs w:val="24"/>
        </w:rPr>
        <w:t xml:space="preserve"> (VHC)</w:t>
      </w:r>
      <w:r w:rsidR="002C0214">
        <w:rPr>
          <w:rFonts w:asciiTheme="majorHAnsi" w:eastAsia="Times New Roman" w:hAnsiTheme="majorHAnsi" w:cs="Times New Roman"/>
          <w:szCs w:val="24"/>
        </w:rPr>
        <w:t xml:space="preserve">, an eight-campus system with homes located </w:t>
      </w:r>
      <w:r w:rsidRPr="00475691">
        <w:rPr>
          <w:rFonts w:asciiTheme="majorHAnsi" w:eastAsia="Times New Roman" w:hAnsiTheme="majorHAnsi" w:cs="Times New Roman"/>
          <w:szCs w:val="24"/>
        </w:rPr>
        <w:t>in Yountville, Barstow, Chula Vista, Fresno, Redding, and Greater Los Angeles, Lancaster, and Ventura County with several levels of medical rehabilitation services, as well as residential services;</w:t>
      </w:r>
    </w:p>
    <w:p w:rsidR="00475691" w:rsidRPr="00475691" w:rsidRDefault="00475691" w:rsidP="00475691">
      <w:pPr>
        <w:ind w:left="720"/>
        <w:rPr>
          <w:rFonts w:asciiTheme="majorHAnsi" w:eastAsia="Times New Roman" w:hAnsiTheme="majorHAnsi" w:cs="Times New Roman"/>
          <w:szCs w:val="24"/>
        </w:rPr>
      </w:pPr>
    </w:p>
    <w:p w:rsidR="00475691" w:rsidRPr="00475691" w:rsidRDefault="00475691" w:rsidP="00475691">
      <w:pPr>
        <w:numPr>
          <w:ilvl w:val="0"/>
          <w:numId w:val="5"/>
        </w:numPr>
        <w:ind w:left="72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Providing home and farm loans through the CalVet Farm and Home Purchase </w:t>
      </w:r>
      <w:r w:rsidR="002C0214">
        <w:rPr>
          <w:rFonts w:asciiTheme="majorHAnsi" w:eastAsia="Times New Roman" w:hAnsiTheme="majorHAnsi" w:cs="Times New Roman"/>
          <w:szCs w:val="24"/>
        </w:rPr>
        <w:t xml:space="preserve">Program </w:t>
      </w:r>
      <w:r w:rsidRPr="00475691">
        <w:rPr>
          <w:rFonts w:asciiTheme="majorHAnsi" w:eastAsia="Times New Roman" w:hAnsiTheme="majorHAnsi" w:cs="Times New Roman"/>
          <w:szCs w:val="24"/>
        </w:rPr>
        <w:t xml:space="preserve">to qualifying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using proceeds from the sale of general obligation and revenue bonds; and</w:t>
      </w:r>
    </w:p>
    <w:p w:rsidR="00475691" w:rsidRPr="00475691" w:rsidRDefault="00475691" w:rsidP="00475691">
      <w:pPr>
        <w:ind w:left="720"/>
        <w:rPr>
          <w:rFonts w:asciiTheme="majorHAnsi" w:eastAsia="Times New Roman" w:hAnsiTheme="majorHAnsi" w:cs="Times New Roman"/>
          <w:szCs w:val="24"/>
        </w:rPr>
      </w:pPr>
    </w:p>
    <w:p w:rsidR="00475691" w:rsidRPr="00475691" w:rsidRDefault="002C0214" w:rsidP="00475691">
      <w:pPr>
        <w:numPr>
          <w:ilvl w:val="0"/>
          <w:numId w:val="5"/>
        </w:numPr>
        <w:ind w:left="720"/>
        <w:rPr>
          <w:rFonts w:asciiTheme="majorHAnsi" w:eastAsia="Times New Roman" w:hAnsiTheme="majorHAnsi" w:cs="Times New Roman"/>
          <w:szCs w:val="24"/>
        </w:rPr>
      </w:pPr>
      <w:r>
        <w:rPr>
          <w:rFonts w:asciiTheme="majorHAnsi" w:eastAsia="Times New Roman" w:hAnsiTheme="majorHAnsi" w:cs="Times New Roman"/>
          <w:szCs w:val="24"/>
        </w:rPr>
        <w:t>Providing s</w:t>
      </w:r>
      <w:r w:rsidR="00475691" w:rsidRPr="00475691">
        <w:rPr>
          <w:rFonts w:asciiTheme="majorHAnsi" w:eastAsia="Times New Roman" w:hAnsiTheme="majorHAnsi" w:cs="Times New Roman"/>
          <w:szCs w:val="24"/>
        </w:rPr>
        <w:t xml:space="preserve">ubventions to county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s service officers</w:t>
      </w:r>
      <w:r>
        <w:rPr>
          <w:rFonts w:asciiTheme="majorHAnsi" w:eastAsia="Times New Roman" w:hAnsiTheme="majorHAnsi" w:cs="Times New Roman"/>
          <w:szCs w:val="24"/>
        </w:rPr>
        <w:t xml:space="preserve"> (CVSOs)</w:t>
      </w:r>
      <w:r w:rsidR="00475691" w:rsidRPr="00475691">
        <w:rPr>
          <w:rFonts w:asciiTheme="majorHAnsi" w:eastAsia="Times New Roman" w:hAnsiTheme="majorHAnsi" w:cs="Times New Roman"/>
          <w:szCs w:val="24"/>
        </w:rPr>
        <w:t xml:space="preserve">, direct educational assistance to qualifying dependents, and assisting eligible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and their dependents to obtain federal and state benefits by providing claims representation and assistance in filing claims with the Federal VA. </w:t>
      </w:r>
    </w:p>
    <w:p w:rsidR="00475691" w:rsidRPr="00475691" w:rsidRDefault="00475691" w:rsidP="00475691">
      <w:pPr>
        <w:ind w:left="720"/>
        <w:rPr>
          <w:rFonts w:asciiTheme="majorHAnsi" w:eastAsia="Times New Roman" w:hAnsiTheme="majorHAnsi" w:cs="Times New Roman"/>
          <w:szCs w:val="24"/>
        </w:rPr>
      </w:pPr>
    </w:p>
    <w:p w:rsidR="00475691" w:rsidRPr="00475691" w:rsidRDefault="00475691" w:rsidP="00475691">
      <w:pPr>
        <w:numPr>
          <w:ilvl w:val="0"/>
          <w:numId w:val="5"/>
        </w:numPr>
        <w:ind w:left="72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With the passage of Proposition 41 in 2014, CalVet, the </w:t>
      </w:r>
      <w:r w:rsidR="002C0214">
        <w:rPr>
          <w:rFonts w:asciiTheme="majorHAnsi" w:eastAsia="Times New Roman" w:hAnsiTheme="majorHAnsi" w:cs="Times New Roman"/>
          <w:szCs w:val="24"/>
        </w:rPr>
        <w:t xml:space="preserve">CA </w:t>
      </w:r>
      <w:r w:rsidRPr="00475691">
        <w:rPr>
          <w:rFonts w:asciiTheme="majorHAnsi" w:eastAsia="Times New Roman" w:hAnsiTheme="majorHAnsi" w:cs="Times New Roman"/>
          <w:szCs w:val="24"/>
        </w:rPr>
        <w:t xml:space="preserve">Department of Housing and Community Development, and CalHFA </w:t>
      </w:r>
      <w:r w:rsidR="002C0214">
        <w:rPr>
          <w:rFonts w:asciiTheme="majorHAnsi" w:eastAsia="Times New Roman" w:hAnsiTheme="majorHAnsi" w:cs="Times New Roman"/>
          <w:szCs w:val="24"/>
        </w:rPr>
        <w:t>partner</w:t>
      </w:r>
      <w:r w:rsidRPr="00475691">
        <w:rPr>
          <w:rFonts w:asciiTheme="majorHAnsi" w:eastAsia="Times New Roman" w:hAnsiTheme="majorHAnsi" w:cs="Times New Roman"/>
          <w:szCs w:val="24"/>
        </w:rPr>
        <w:t xml:space="preserve"> in a new program to provide multifamily housing for homeless and low-income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w:t>
      </w:r>
    </w:p>
    <w:p w:rsidR="00475691" w:rsidRPr="00475691" w:rsidRDefault="00475691" w:rsidP="00475691">
      <w:pPr>
        <w:ind w:left="720"/>
        <w:rPr>
          <w:rFonts w:asciiTheme="majorHAnsi" w:eastAsia="Times New Roman" w:hAnsiTheme="majorHAnsi" w:cs="Times New Roman"/>
          <w:szCs w:val="24"/>
        </w:rPr>
      </w:pPr>
    </w:p>
    <w:p w:rsidR="00475691" w:rsidRPr="00475691" w:rsidRDefault="00475691" w:rsidP="00475691">
      <w:pPr>
        <w:numPr>
          <w:ilvl w:val="0"/>
          <w:numId w:val="5"/>
        </w:numPr>
        <w:ind w:left="72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California State Approving Authority for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 Education</w:t>
      </w:r>
      <w:r w:rsidR="002C0214">
        <w:rPr>
          <w:rFonts w:asciiTheme="majorHAnsi" w:eastAsia="Times New Roman" w:hAnsiTheme="majorHAnsi" w:cs="Times New Roman"/>
          <w:szCs w:val="24"/>
        </w:rPr>
        <w:t xml:space="preserve"> (CSAAVE)</w:t>
      </w:r>
      <w:r w:rsidRPr="00475691">
        <w:rPr>
          <w:rFonts w:asciiTheme="majorHAnsi" w:eastAsia="Times New Roman" w:hAnsiTheme="majorHAnsi" w:cs="Times New Roman"/>
          <w:szCs w:val="24"/>
        </w:rPr>
        <w:t xml:space="preserve"> oversees the certification of </w:t>
      </w:r>
      <w:r w:rsidR="002C0214">
        <w:rPr>
          <w:rFonts w:asciiTheme="majorHAnsi" w:eastAsia="Times New Roman" w:hAnsiTheme="majorHAnsi" w:cs="Times New Roman"/>
          <w:szCs w:val="24"/>
        </w:rPr>
        <w:t>secondary education institutions and</w:t>
      </w:r>
      <w:r w:rsidRPr="00475691">
        <w:rPr>
          <w:rFonts w:asciiTheme="majorHAnsi" w:eastAsia="Times New Roman" w:hAnsiTheme="majorHAnsi" w:cs="Times New Roman"/>
          <w:szCs w:val="24"/>
        </w:rPr>
        <w:t xml:space="preserve"> programs eligible for</w:t>
      </w:r>
      <w:r w:rsidR="002C0214">
        <w:rPr>
          <w:rFonts w:asciiTheme="majorHAnsi" w:eastAsia="Times New Roman" w:hAnsiTheme="majorHAnsi" w:cs="Times New Roman"/>
          <w:szCs w:val="24"/>
        </w:rPr>
        <w:t xml:space="preserve"> the federal GI Bill Education b</w:t>
      </w:r>
      <w:r w:rsidRPr="00475691">
        <w:rPr>
          <w:rFonts w:asciiTheme="majorHAnsi" w:eastAsia="Times New Roman" w:hAnsiTheme="majorHAnsi" w:cs="Times New Roman"/>
          <w:szCs w:val="24"/>
        </w:rPr>
        <w:t>enefits, including the Montgomery GI Bill and the Post 9-11 GI Bill.</w:t>
      </w:r>
    </w:p>
    <w:p w:rsidR="00475691" w:rsidRDefault="00475691" w:rsidP="00475691">
      <w:pPr>
        <w:ind w:left="720"/>
        <w:rPr>
          <w:rFonts w:asciiTheme="majorHAnsi" w:eastAsia="Times New Roman" w:hAnsiTheme="majorHAnsi" w:cs="Times New Roman"/>
          <w:szCs w:val="24"/>
        </w:rPr>
      </w:pPr>
    </w:p>
    <w:p w:rsidR="00A06FB9" w:rsidRDefault="00A06FB9" w:rsidP="00475691">
      <w:pPr>
        <w:ind w:left="720"/>
        <w:rPr>
          <w:rFonts w:asciiTheme="majorHAnsi" w:eastAsia="Times New Roman" w:hAnsiTheme="majorHAnsi" w:cs="Times New Roman"/>
          <w:szCs w:val="24"/>
        </w:rPr>
      </w:pPr>
    </w:p>
    <w:p w:rsidR="00A06FB9" w:rsidRPr="00475691" w:rsidRDefault="00A06FB9" w:rsidP="00A06FB9">
      <w:pPr>
        <w:rPr>
          <w:rFonts w:asciiTheme="majorHAnsi" w:eastAsia="Times New Roman" w:hAnsiTheme="majorHAnsi" w:cs="Times New Roman"/>
          <w:szCs w:val="24"/>
        </w:rPr>
      </w:pPr>
    </w:p>
    <w:p w:rsidR="00475691" w:rsidRPr="00475691" w:rsidRDefault="00475691" w:rsidP="00475691">
      <w:pPr>
        <w:ind w:left="360"/>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b/>
          <w:szCs w:val="24"/>
        </w:rPr>
      </w:pPr>
      <w:r w:rsidRPr="00475691">
        <w:rPr>
          <w:rFonts w:asciiTheme="majorHAnsi" w:eastAsia="Times New Roman" w:hAnsiTheme="majorHAnsi" w:cs="Times New Roman"/>
          <w:b/>
          <w:szCs w:val="24"/>
        </w:rPr>
        <w:t>CalVet Strategic Goals</w:t>
      </w:r>
      <w:r w:rsidR="00C419E5">
        <w:rPr>
          <w:rFonts w:asciiTheme="majorHAnsi" w:eastAsia="Times New Roman" w:hAnsiTheme="majorHAnsi" w:cs="Times New Roman"/>
          <w:b/>
          <w:szCs w:val="24"/>
        </w:rPr>
        <w:t>*</w:t>
      </w:r>
      <w:r w:rsidR="0077250D" w:rsidRPr="00C419E5">
        <w:rPr>
          <w:rFonts w:asciiTheme="majorHAnsi" w:eastAsia="Times New Roman" w:hAnsiTheme="majorHAnsi" w:cs="Times New Roman"/>
          <w:b/>
          <w:szCs w:val="24"/>
        </w:rPr>
        <w:t xml:space="preserve"> (per current </w:t>
      </w:r>
      <w:r w:rsidR="002C0214" w:rsidRPr="00C419E5">
        <w:rPr>
          <w:rFonts w:asciiTheme="majorHAnsi" w:eastAsia="Times New Roman" w:hAnsiTheme="majorHAnsi" w:cs="Times New Roman"/>
          <w:b/>
          <w:szCs w:val="24"/>
        </w:rPr>
        <w:t>CalVet Strategic Plan</w:t>
      </w:r>
      <w:r w:rsidR="0077250D" w:rsidRPr="00C419E5">
        <w:rPr>
          <w:rFonts w:asciiTheme="majorHAnsi" w:eastAsia="Times New Roman" w:hAnsiTheme="majorHAnsi" w:cs="Times New Roman"/>
          <w:b/>
          <w:szCs w:val="24"/>
        </w:rPr>
        <w:t xml:space="preserve"> – FY 2013/14 – 2015/16</w:t>
      </w:r>
      <w:r w:rsidRPr="00475691">
        <w:rPr>
          <w:rFonts w:asciiTheme="majorHAnsi" w:eastAsia="Times New Roman" w:hAnsiTheme="majorHAnsi" w:cs="Times New Roman"/>
          <w:b/>
          <w:szCs w:val="24"/>
        </w:rPr>
        <w:t>)</w:t>
      </w:r>
    </w:p>
    <w:p w:rsidR="00475691" w:rsidRPr="00475691" w:rsidRDefault="00475691" w:rsidP="00475691">
      <w:pPr>
        <w:rPr>
          <w:rFonts w:asciiTheme="majorHAnsi" w:eastAsia="Times New Roman" w:hAnsiTheme="majorHAnsi" w:cs="Times New Roman"/>
          <w:szCs w:val="24"/>
        </w:rPr>
      </w:pPr>
    </w:p>
    <w:p w:rsidR="00475691" w:rsidRPr="00475691" w:rsidRDefault="00475691" w:rsidP="00C419E5">
      <w:pPr>
        <w:numPr>
          <w:ilvl w:val="0"/>
          <w:numId w:val="11"/>
        </w:numPr>
        <w:spacing w:after="180"/>
        <w:rPr>
          <w:rFonts w:asciiTheme="majorHAnsi" w:eastAsia="Times New Roman" w:hAnsiTheme="majorHAnsi" w:cs="Times New Roman"/>
          <w:bCs/>
          <w:szCs w:val="24"/>
        </w:rPr>
      </w:pPr>
      <w:r w:rsidRPr="00475691">
        <w:rPr>
          <w:rFonts w:asciiTheme="majorHAnsi" w:eastAsia="Times New Roman" w:hAnsiTheme="majorHAnsi" w:cs="Times New Roman"/>
          <w:bCs/>
          <w:szCs w:val="24"/>
        </w:rPr>
        <w:t>Increase the accessibility and utilization of benefits and services through advocacy and education.</w:t>
      </w:r>
    </w:p>
    <w:p w:rsidR="00475691" w:rsidRPr="00475691" w:rsidRDefault="00475691" w:rsidP="00C419E5">
      <w:pPr>
        <w:numPr>
          <w:ilvl w:val="0"/>
          <w:numId w:val="11"/>
        </w:numPr>
        <w:spacing w:after="180"/>
        <w:rPr>
          <w:rFonts w:asciiTheme="majorHAnsi" w:eastAsia="Times New Roman" w:hAnsiTheme="majorHAnsi" w:cs="Times New Roman"/>
          <w:bCs/>
          <w:szCs w:val="24"/>
        </w:rPr>
      </w:pPr>
      <w:r w:rsidRPr="00475691">
        <w:rPr>
          <w:rFonts w:asciiTheme="majorHAnsi" w:eastAsia="Times New Roman" w:hAnsiTheme="majorHAnsi" w:cs="Times New Roman"/>
          <w:bCs/>
          <w:szCs w:val="24"/>
        </w:rPr>
        <w:t xml:space="preserve">Provide the highest quality of CalVet-sponsored care and services to </w:t>
      </w:r>
      <w:r w:rsidR="00A57909">
        <w:rPr>
          <w:rFonts w:asciiTheme="majorHAnsi" w:eastAsia="Times New Roman" w:hAnsiTheme="majorHAnsi" w:cs="Times New Roman"/>
          <w:bCs/>
          <w:szCs w:val="24"/>
        </w:rPr>
        <w:t>Veteran</w:t>
      </w:r>
      <w:r w:rsidRPr="00475691">
        <w:rPr>
          <w:rFonts w:asciiTheme="majorHAnsi" w:eastAsia="Times New Roman" w:hAnsiTheme="majorHAnsi" w:cs="Times New Roman"/>
          <w:bCs/>
          <w:szCs w:val="24"/>
        </w:rPr>
        <w:t>s and their families.</w:t>
      </w:r>
    </w:p>
    <w:p w:rsidR="00475691" w:rsidRPr="00475691" w:rsidRDefault="00475691" w:rsidP="00C419E5">
      <w:pPr>
        <w:numPr>
          <w:ilvl w:val="0"/>
          <w:numId w:val="11"/>
        </w:numPr>
        <w:spacing w:after="180"/>
        <w:rPr>
          <w:rFonts w:asciiTheme="majorHAnsi" w:eastAsia="Times New Roman" w:hAnsiTheme="majorHAnsi" w:cs="Times New Roman"/>
          <w:bCs/>
          <w:szCs w:val="24"/>
        </w:rPr>
      </w:pPr>
      <w:r w:rsidRPr="00475691">
        <w:rPr>
          <w:rFonts w:asciiTheme="majorHAnsi" w:eastAsia="Times New Roman" w:hAnsiTheme="majorHAnsi" w:cs="Times New Roman"/>
          <w:bCs/>
          <w:szCs w:val="24"/>
        </w:rPr>
        <w:t>Make CalVet an employer of choice by investing in the development of our employees.</w:t>
      </w:r>
    </w:p>
    <w:p w:rsidR="00475691" w:rsidRPr="00475691" w:rsidRDefault="00475691" w:rsidP="00475691">
      <w:pPr>
        <w:numPr>
          <w:ilvl w:val="0"/>
          <w:numId w:val="11"/>
        </w:numPr>
        <w:rPr>
          <w:rFonts w:asciiTheme="majorHAnsi" w:eastAsia="Times New Roman" w:hAnsiTheme="majorHAnsi" w:cs="Times New Roman"/>
          <w:szCs w:val="24"/>
        </w:rPr>
      </w:pPr>
      <w:r w:rsidRPr="00475691">
        <w:rPr>
          <w:rFonts w:asciiTheme="majorHAnsi" w:eastAsia="Times New Roman" w:hAnsiTheme="majorHAnsi" w:cs="Times New Roman"/>
          <w:bCs/>
          <w:szCs w:val="24"/>
        </w:rPr>
        <w:t>Provide premier long-term care with fiscal efficiencies</w:t>
      </w:r>
    </w:p>
    <w:p w:rsidR="00475691" w:rsidRPr="00475691" w:rsidRDefault="00475691" w:rsidP="00475691">
      <w:pPr>
        <w:ind w:left="360"/>
        <w:jc w:val="center"/>
        <w:rPr>
          <w:rFonts w:asciiTheme="majorHAnsi" w:eastAsia="Times New Roman" w:hAnsiTheme="majorHAnsi" w:cs="Times New Roman"/>
          <w:szCs w:val="24"/>
        </w:rPr>
      </w:pPr>
    </w:p>
    <w:p w:rsidR="00475691" w:rsidRPr="00C419E5" w:rsidRDefault="00C419E5" w:rsidP="00C419E5">
      <w:pPr>
        <w:jc w:val="right"/>
        <w:rPr>
          <w:rFonts w:asciiTheme="majorHAnsi" w:eastAsia="Times New Roman" w:hAnsiTheme="majorHAnsi" w:cs="Times New Roman"/>
          <w:sz w:val="18"/>
          <w:szCs w:val="18"/>
        </w:rPr>
      </w:pPr>
      <w:r w:rsidRPr="00C419E5">
        <w:rPr>
          <w:rFonts w:asciiTheme="majorHAnsi" w:eastAsia="Times New Roman" w:hAnsiTheme="majorHAnsi" w:cs="Times New Roman"/>
          <w:sz w:val="18"/>
          <w:szCs w:val="18"/>
        </w:rPr>
        <w:t>*Per current CalVet Strate</w:t>
      </w:r>
      <w:r w:rsidR="001A25F9">
        <w:rPr>
          <w:rFonts w:asciiTheme="majorHAnsi" w:eastAsia="Times New Roman" w:hAnsiTheme="majorHAnsi" w:cs="Times New Roman"/>
          <w:sz w:val="18"/>
          <w:szCs w:val="18"/>
        </w:rPr>
        <w:t>gic Plan – FY 2013/14 – 2015/16</w:t>
      </w:r>
    </w:p>
    <w:p w:rsidR="00C419E5" w:rsidRDefault="00C419E5" w:rsidP="00385C03">
      <w:pPr>
        <w:rPr>
          <w:rFonts w:asciiTheme="majorHAnsi" w:eastAsia="Times New Roman" w:hAnsiTheme="majorHAnsi" w:cs="Times New Roman"/>
          <w:b/>
          <w:szCs w:val="24"/>
          <w:u w:val="single"/>
        </w:rPr>
      </w:pPr>
    </w:p>
    <w:p w:rsidR="00475691" w:rsidRDefault="00475691" w:rsidP="00385C03">
      <w:pPr>
        <w:rPr>
          <w:rFonts w:asciiTheme="majorHAnsi" w:eastAsia="Times New Roman" w:hAnsiTheme="majorHAnsi" w:cs="Times New Roman"/>
          <w:b/>
          <w:szCs w:val="24"/>
          <w:u w:val="single"/>
        </w:rPr>
      </w:pPr>
    </w:p>
    <w:p w:rsidR="00A06FB9" w:rsidRDefault="00A06FB9" w:rsidP="00385C03">
      <w:pPr>
        <w:rPr>
          <w:rFonts w:asciiTheme="majorHAnsi" w:eastAsia="Times New Roman" w:hAnsiTheme="majorHAnsi" w:cs="Times New Roman"/>
          <w:b/>
          <w:szCs w:val="24"/>
          <w:u w:val="single"/>
        </w:rPr>
      </w:pPr>
    </w:p>
    <w:p w:rsidR="00BA4DCF" w:rsidRDefault="00BA4DCF" w:rsidP="00385C03">
      <w:pPr>
        <w:rPr>
          <w:rFonts w:asciiTheme="majorHAnsi" w:eastAsia="Times New Roman" w:hAnsiTheme="majorHAnsi" w:cs="Times New Roman"/>
          <w:b/>
          <w:szCs w:val="24"/>
          <w:u w:val="single"/>
        </w:rPr>
      </w:pPr>
    </w:p>
    <w:p w:rsidR="00BA4DCF" w:rsidRDefault="00BA4DCF" w:rsidP="00385C03">
      <w:pPr>
        <w:rPr>
          <w:rFonts w:asciiTheme="majorHAnsi" w:eastAsia="Times New Roman" w:hAnsiTheme="majorHAnsi" w:cs="Times New Roman"/>
          <w:b/>
          <w:szCs w:val="24"/>
          <w:u w:val="single"/>
        </w:rPr>
      </w:pPr>
    </w:p>
    <w:p w:rsidR="00A06FB9" w:rsidRDefault="00A06FB9" w:rsidP="00385C03">
      <w:pPr>
        <w:rPr>
          <w:rFonts w:asciiTheme="majorHAnsi" w:eastAsia="Times New Roman" w:hAnsiTheme="majorHAnsi" w:cs="Times New Roman"/>
          <w:b/>
          <w:szCs w:val="24"/>
          <w:u w:val="single"/>
        </w:rPr>
      </w:pPr>
    </w:p>
    <w:p w:rsidR="0077250D" w:rsidRPr="00C419E5" w:rsidRDefault="00A06FB9" w:rsidP="00385C03">
      <w:pPr>
        <w:rPr>
          <w:rFonts w:asciiTheme="majorHAnsi" w:eastAsia="Times New Roman" w:hAnsiTheme="majorHAnsi" w:cs="Times New Roman"/>
          <w:b/>
          <w:szCs w:val="24"/>
        </w:rPr>
      </w:pPr>
      <w:r>
        <w:rPr>
          <w:rFonts w:asciiTheme="majorHAnsi" w:eastAsia="Times New Roman" w:hAnsiTheme="majorHAnsi" w:cs="Times New Roman"/>
          <w:b/>
          <w:szCs w:val="24"/>
        </w:rPr>
        <w:t xml:space="preserve">Department-Level: </w:t>
      </w:r>
      <w:r w:rsidR="00385C03" w:rsidRPr="00C419E5">
        <w:rPr>
          <w:rFonts w:asciiTheme="majorHAnsi" w:eastAsia="Times New Roman" w:hAnsiTheme="majorHAnsi" w:cs="Times New Roman"/>
          <w:b/>
          <w:szCs w:val="24"/>
        </w:rPr>
        <w:t>3-Year Positions and Expenditures</w:t>
      </w:r>
      <w:r w:rsidR="00C419E5" w:rsidRPr="00C419E5">
        <w:rPr>
          <w:rFonts w:asciiTheme="majorHAnsi" w:eastAsia="Times New Roman" w:hAnsiTheme="majorHAnsi" w:cs="Times New Roman"/>
          <w:b/>
          <w:szCs w:val="24"/>
        </w:rPr>
        <w:t xml:space="preserve"> *</w:t>
      </w:r>
    </w:p>
    <w:p w:rsidR="0077250D" w:rsidRPr="00385C03" w:rsidRDefault="0077250D" w:rsidP="00385C03">
      <w:pPr>
        <w:rPr>
          <w:rFonts w:asciiTheme="majorHAnsi" w:eastAsia="Times New Roman" w:hAnsiTheme="majorHAnsi" w:cs="Times New Roman"/>
          <w:szCs w:val="24"/>
        </w:rPr>
      </w:pPr>
    </w:p>
    <w:p w:rsidR="0077250D" w:rsidRPr="00385C03" w:rsidRDefault="0077250D" w:rsidP="00475691">
      <w:pPr>
        <w:jc w:val="center"/>
        <w:rPr>
          <w:rFonts w:asciiTheme="majorHAnsi" w:eastAsia="Times New Roman" w:hAnsiTheme="majorHAnsi" w:cs="Times New Roman"/>
          <w:szCs w:val="24"/>
        </w:rPr>
      </w:pPr>
    </w:p>
    <w:tbl>
      <w:tblPr>
        <w:tblStyle w:val="TableGrid"/>
        <w:tblW w:w="0" w:type="auto"/>
        <w:tblLook w:val="04A0" w:firstRow="1" w:lastRow="0" w:firstColumn="1" w:lastColumn="0" w:noHBand="0" w:noVBand="1"/>
      </w:tblPr>
      <w:tblGrid>
        <w:gridCol w:w="2574"/>
        <w:gridCol w:w="1287"/>
        <w:gridCol w:w="1287"/>
        <w:gridCol w:w="1287"/>
        <w:gridCol w:w="1287"/>
        <w:gridCol w:w="1287"/>
        <w:gridCol w:w="1287"/>
      </w:tblGrid>
      <w:tr w:rsidR="0077250D" w:rsidRPr="00C419E5" w:rsidTr="00C419E5">
        <w:tc>
          <w:tcPr>
            <w:tcW w:w="2574" w:type="dxa"/>
            <w:tcBorders>
              <w:top w:val="nil"/>
              <w:left w:val="nil"/>
              <w:bottom w:val="nil"/>
              <w:right w:val="single" w:sz="4" w:space="0" w:color="auto"/>
            </w:tcBorders>
          </w:tcPr>
          <w:p w:rsidR="0077250D" w:rsidRPr="00C419E5" w:rsidRDefault="0077250D" w:rsidP="00385C03">
            <w:pPr>
              <w:rPr>
                <w:rFonts w:asciiTheme="minorHAnsi" w:eastAsia="Times New Roman" w:hAnsiTheme="minorHAnsi" w:cs="Times New Roman"/>
                <w:b/>
                <w:sz w:val="21"/>
                <w:szCs w:val="21"/>
                <w:u w:val="single"/>
              </w:rPr>
            </w:pPr>
          </w:p>
        </w:tc>
        <w:tc>
          <w:tcPr>
            <w:tcW w:w="3861" w:type="dxa"/>
            <w:gridSpan w:val="3"/>
            <w:tcBorders>
              <w:left w:val="single" w:sz="4" w:space="0" w:color="auto"/>
              <w:bottom w:val="nil"/>
              <w:right w:val="single" w:sz="4" w:space="0" w:color="auto"/>
            </w:tcBorders>
          </w:tcPr>
          <w:p w:rsidR="0077250D" w:rsidRPr="00C419E5" w:rsidRDefault="0077250D" w:rsidP="00475691">
            <w:pPr>
              <w:jc w:val="center"/>
              <w:rPr>
                <w:rFonts w:asciiTheme="minorHAnsi" w:eastAsia="Times New Roman" w:hAnsiTheme="minorHAnsi" w:cs="Times New Roman"/>
                <w:b/>
                <w:sz w:val="21"/>
                <w:szCs w:val="21"/>
                <w:u w:val="single"/>
              </w:rPr>
            </w:pPr>
            <w:r w:rsidRPr="00C419E5">
              <w:rPr>
                <w:rFonts w:asciiTheme="minorHAnsi" w:eastAsia="Times New Roman" w:hAnsiTheme="minorHAnsi" w:cs="Times New Roman"/>
                <w:b/>
                <w:sz w:val="21"/>
                <w:szCs w:val="21"/>
                <w:u w:val="single"/>
              </w:rPr>
              <w:t>Positions</w:t>
            </w:r>
          </w:p>
        </w:tc>
        <w:tc>
          <w:tcPr>
            <w:tcW w:w="3861" w:type="dxa"/>
            <w:gridSpan w:val="3"/>
            <w:tcBorders>
              <w:left w:val="single" w:sz="4" w:space="0" w:color="auto"/>
              <w:bottom w:val="nil"/>
            </w:tcBorders>
          </w:tcPr>
          <w:p w:rsidR="0077250D" w:rsidRPr="00C419E5" w:rsidRDefault="0077250D" w:rsidP="0077250D">
            <w:pPr>
              <w:jc w:val="center"/>
              <w:rPr>
                <w:rFonts w:asciiTheme="minorHAnsi" w:eastAsia="Times New Roman" w:hAnsiTheme="minorHAnsi" w:cs="Times New Roman"/>
                <w:b/>
                <w:sz w:val="21"/>
                <w:szCs w:val="21"/>
              </w:rPr>
            </w:pPr>
            <w:r w:rsidRPr="00C419E5">
              <w:rPr>
                <w:rFonts w:asciiTheme="minorHAnsi" w:eastAsia="Times New Roman" w:hAnsiTheme="minorHAnsi" w:cs="Times New Roman"/>
                <w:b/>
                <w:sz w:val="21"/>
                <w:szCs w:val="21"/>
                <w:u w:val="single"/>
              </w:rPr>
              <w:t>Expenditures</w:t>
            </w:r>
            <w:r w:rsidR="00385C03" w:rsidRPr="00C419E5">
              <w:rPr>
                <w:rFonts w:asciiTheme="minorHAnsi" w:eastAsia="Times New Roman" w:hAnsiTheme="minorHAnsi" w:cs="Times New Roman"/>
                <w:b/>
                <w:sz w:val="21"/>
                <w:szCs w:val="21"/>
              </w:rPr>
              <w:t>*</w:t>
            </w:r>
            <w:r w:rsidR="00C419E5">
              <w:rPr>
                <w:rFonts w:asciiTheme="minorHAnsi" w:eastAsia="Times New Roman" w:hAnsiTheme="minorHAnsi" w:cs="Times New Roman"/>
                <w:b/>
                <w:sz w:val="21"/>
                <w:szCs w:val="21"/>
              </w:rPr>
              <w:t>*</w:t>
            </w:r>
          </w:p>
        </w:tc>
      </w:tr>
      <w:tr w:rsidR="0077250D" w:rsidRPr="00385C03" w:rsidTr="00C419E5">
        <w:tc>
          <w:tcPr>
            <w:tcW w:w="2574" w:type="dxa"/>
            <w:tcBorders>
              <w:top w:val="nil"/>
              <w:left w:val="nil"/>
              <w:bottom w:val="single" w:sz="4" w:space="0" w:color="auto"/>
              <w:right w:val="single" w:sz="4" w:space="0" w:color="auto"/>
            </w:tcBorders>
          </w:tcPr>
          <w:p w:rsidR="0077250D" w:rsidRPr="00385C03" w:rsidRDefault="0077250D" w:rsidP="00385C03">
            <w:pPr>
              <w:rPr>
                <w:rFonts w:asciiTheme="majorHAnsi" w:eastAsia="Times New Roman" w:hAnsiTheme="majorHAnsi" w:cs="Times New Roman"/>
                <w:b/>
                <w:sz w:val="20"/>
                <w:szCs w:val="20"/>
              </w:rPr>
            </w:pPr>
          </w:p>
        </w:tc>
        <w:tc>
          <w:tcPr>
            <w:tcW w:w="1287" w:type="dxa"/>
            <w:tcBorders>
              <w:top w:val="nil"/>
              <w:left w:val="single" w:sz="4" w:space="0" w:color="auto"/>
              <w:bottom w:val="single" w:sz="4" w:space="0" w:color="auto"/>
              <w:right w:val="nil"/>
            </w:tcBorders>
          </w:tcPr>
          <w:p w:rsidR="0077250D" w:rsidRPr="00385C03" w:rsidRDefault="0077250D" w:rsidP="00475691">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2015-16</w:t>
            </w:r>
          </w:p>
        </w:tc>
        <w:tc>
          <w:tcPr>
            <w:tcW w:w="1287" w:type="dxa"/>
            <w:tcBorders>
              <w:top w:val="nil"/>
              <w:left w:val="nil"/>
              <w:right w:val="nil"/>
            </w:tcBorders>
          </w:tcPr>
          <w:p w:rsidR="0077250D" w:rsidRPr="00385C03" w:rsidRDefault="0077250D" w:rsidP="00475691">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2016-17</w:t>
            </w:r>
          </w:p>
        </w:tc>
        <w:tc>
          <w:tcPr>
            <w:tcW w:w="1287" w:type="dxa"/>
            <w:tcBorders>
              <w:top w:val="nil"/>
              <w:left w:val="nil"/>
              <w:right w:val="single" w:sz="4" w:space="0" w:color="auto"/>
            </w:tcBorders>
          </w:tcPr>
          <w:p w:rsidR="0077250D" w:rsidRPr="00385C03" w:rsidRDefault="0077250D" w:rsidP="00475691">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2017-18</w:t>
            </w:r>
          </w:p>
        </w:tc>
        <w:tc>
          <w:tcPr>
            <w:tcW w:w="1287" w:type="dxa"/>
            <w:tcBorders>
              <w:top w:val="nil"/>
              <w:left w:val="single" w:sz="4" w:space="0" w:color="auto"/>
              <w:right w:val="nil"/>
            </w:tcBorders>
          </w:tcPr>
          <w:p w:rsidR="0077250D" w:rsidRPr="00385C03" w:rsidRDefault="0077250D" w:rsidP="001A715E">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2015-16</w:t>
            </w:r>
          </w:p>
        </w:tc>
        <w:tc>
          <w:tcPr>
            <w:tcW w:w="1287" w:type="dxa"/>
            <w:tcBorders>
              <w:top w:val="nil"/>
              <w:left w:val="nil"/>
              <w:right w:val="nil"/>
            </w:tcBorders>
          </w:tcPr>
          <w:p w:rsidR="0077250D" w:rsidRPr="00385C03" w:rsidRDefault="0077250D" w:rsidP="001A715E">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2016-17</w:t>
            </w:r>
          </w:p>
        </w:tc>
        <w:tc>
          <w:tcPr>
            <w:tcW w:w="1287" w:type="dxa"/>
            <w:tcBorders>
              <w:top w:val="nil"/>
              <w:left w:val="nil"/>
            </w:tcBorders>
          </w:tcPr>
          <w:p w:rsidR="0077250D" w:rsidRPr="00385C03" w:rsidRDefault="0077250D" w:rsidP="001A715E">
            <w:pPr>
              <w:jc w:val="center"/>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2017-18</w:t>
            </w:r>
          </w:p>
        </w:tc>
      </w:tr>
      <w:tr w:rsidR="0077250D" w:rsidRPr="00385C03" w:rsidTr="00C419E5">
        <w:tc>
          <w:tcPr>
            <w:tcW w:w="2574" w:type="dxa"/>
            <w:tcBorders>
              <w:top w:val="single" w:sz="4" w:space="0" w:color="auto"/>
              <w:right w:val="single" w:sz="4" w:space="0" w:color="auto"/>
            </w:tcBorders>
          </w:tcPr>
          <w:p w:rsidR="00385C03" w:rsidRPr="0094755B" w:rsidRDefault="00385C03" w:rsidP="00385C03">
            <w:pPr>
              <w:rPr>
                <w:rFonts w:asciiTheme="majorHAnsi" w:eastAsia="Times New Roman" w:hAnsiTheme="majorHAnsi" w:cs="Times New Roman"/>
                <w:b/>
                <w:sz w:val="20"/>
                <w:szCs w:val="20"/>
              </w:rPr>
            </w:pPr>
            <w:r w:rsidRPr="0094755B">
              <w:rPr>
                <w:rFonts w:asciiTheme="majorHAnsi" w:eastAsia="Times New Roman" w:hAnsiTheme="majorHAnsi" w:cs="Times New Roman"/>
                <w:b/>
                <w:sz w:val="20"/>
                <w:szCs w:val="20"/>
              </w:rPr>
              <w:t>Farm &amp; Home Loans</w:t>
            </w:r>
          </w:p>
        </w:tc>
        <w:tc>
          <w:tcPr>
            <w:tcW w:w="1287" w:type="dxa"/>
            <w:tcBorders>
              <w:top w:val="single" w:sz="4" w:space="0" w:color="auto"/>
              <w:left w:val="single" w:sz="4" w:space="0" w:color="auto"/>
            </w:tcBorders>
          </w:tcPr>
          <w:p w:rsidR="0077250D" w:rsidRPr="00385C03" w:rsidRDefault="00385C03" w:rsidP="00385C03">
            <w:pPr>
              <w:jc w:val="right"/>
              <w:rPr>
                <w:rFonts w:asciiTheme="minorHAnsi" w:eastAsia="Times New Roman" w:hAnsiTheme="minorHAnsi" w:cs="Times New Roman"/>
                <w:sz w:val="20"/>
                <w:szCs w:val="20"/>
              </w:rPr>
            </w:pPr>
            <w:r w:rsidRPr="00385C03">
              <w:rPr>
                <w:rFonts w:asciiTheme="minorHAnsi" w:eastAsia="Times New Roman" w:hAnsiTheme="minorHAnsi" w:cs="Times New Roman"/>
                <w:sz w:val="20"/>
                <w:szCs w:val="20"/>
              </w:rPr>
              <w:t>103.8</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94.1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94.1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$56,861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$64,028</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$63,999</w:t>
            </w:r>
          </w:p>
        </w:tc>
      </w:tr>
      <w:tr w:rsidR="0077250D" w:rsidRPr="00385C03" w:rsidTr="007359CB">
        <w:tc>
          <w:tcPr>
            <w:tcW w:w="2574" w:type="dxa"/>
          </w:tcPr>
          <w:p w:rsidR="0077250D" w:rsidRPr="0094755B" w:rsidRDefault="00A57909" w:rsidP="00385C03">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Veteran</w:t>
            </w:r>
            <w:r w:rsidR="00385C03" w:rsidRPr="0094755B">
              <w:rPr>
                <w:rFonts w:asciiTheme="majorHAnsi" w:eastAsia="Times New Roman" w:hAnsiTheme="majorHAnsi" w:cs="Times New Roman"/>
                <w:b/>
                <w:sz w:val="20"/>
                <w:szCs w:val="20"/>
              </w:rPr>
              <w:t>s Claims/Rights</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sidRPr="00385C03">
              <w:rPr>
                <w:rFonts w:asciiTheme="minorHAnsi" w:eastAsia="Times New Roman" w:hAnsiTheme="minorHAnsi" w:cs="Times New Roman"/>
                <w:sz w:val="20"/>
                <w:szCs w:val="20"/>
              </w:rPr>
              <w:t>75.3</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69.0</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69.0</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17,139</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19,584</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17,716</w:t>
            </w:r>
          </w:p>
        </w:tc>
      </w:tr>
      <w:tr w:rsidR="0077250D" w:rsidRPr="00385C03" w:rsidTr="003A6F70">
        <w:tc>
          <w:tcPr>
            <w:tcW w:w="2574" w:type="dxa"/>
          </w:tcPr>
          <w:p w:rsidR="0077250D" w:rsidRPr="0094755B" w:rsidRDefault="00385C03" w:rsidP="00385C03">
            <w:pPr>
              <w:rPr>
                <w:rFonts w:asciiTheme="majorHAnsi" w:eastAsia="Times New Roman" w:hAnsiTheme="majorHAnsi" w:cs="Times New Roman"/>
                <w:b/>
                <w:sz w:val="20"/>
                <w:szCs w:val="20"/>
              </w:rPr>
            </w:pPr>
            <w:r w:rsidRPr="0094755B">
              <w:rPr>
                <w:rFonts w:asciiTheme="majorHAnsi" w:eastAsia="Times New Roman" w:hAnsiTheme="majorHAnsi" w:cs="Times New Roman"/>
                <w:b/>
                <w:sz w:val="20"/>
                <w:szCs w:val="20"/>
              </w:rPr>
              <w:t>Care: Sick &amp; Disabled</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sidRPr="00385C03">
              <w:rPr>
                <w:rFonts w:asciiTheme="minorHAnsi" w:eastAsia="Times New Roman" w:hAnsiTheme="minorHAnsi" w:cs="Times New Roman"/>
                <w:sz w:val="20"/>
                <w:szCs w:val="20"/>
              </w:rPr>
              <w:t>2,291.7</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2,286.9</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2,834.9</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313,681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383,021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365,872</w:t>
            </w:r>
          </w:p>
        </w:tc>
      </w:tr>
      <w:tr w:rsidR="0077250D" w:rsidRPr="00385C03" w:rsidTr="000F3E0E">
        <w:tc>
          <w:tcPr>
            <w:tcW w:w="2574" w:type="dxa"/>
          </w:tcPr>
          <w:p w:rsidR="0077250D" w:rsidRPr="0094755B" w:rsidRDefault="00385C03" w:rsidP="00385C03">
            <w:pPr>
              <w:rPr>
                <w:rFonts w:asciiTheme="majorHAnsi" w:eastAsia="Times New Roman" w:hAnsiTheme="majorHAnsi" w:cs="Times New Roman"/>
                <w:b/>
                <w:sz w:val="20"/>
                <w:szCs w:val="20"/>
              </w:rPr>
            </w:pPr>
            <w:r w:rsidRPr="0094755B">
              <w:rPr>
                <w:rFonts w:asciiTheme="majorHAnsi" w:eastAsia="Times New Roman" w:hAnsiTheme="majorHAnsi" w:cs="Times New Roman"/>
                <w:b/>
                <w:sz w:val="20"/>
                <w:szCs w:val="20"/>
              </w:rPr>
              <w:t>Veterans Memorials</w:t>
            </w:r>
          </w:p>
        </w:tc>
        <w:tc>
          <w:tcPr>
            <w:tcW w:w="1287" w:type="dxa"/>
          </w:tcPr>
          <w:p w:rsidR="0077250D" w:rsidRPr="00385C03" w:rsidRDefault="0077250D" w:rsidP="00385C03">
            <w:pPr>
              <w:pStyle w:val="ListParagraph"/>
              <w:numPr>
                <w:ilvl w:val="0"/>
                <w:numId w:val="13"/>
              </w:numPr>
              <w:jc w:val="right"/>
              <w:rPr>
                <w:rFonts w:asciiTheme="minorHAnsi" w:eastAsia="Times New Roman" w:hAnsiTheme="minorHAnsi" w:cs="Times New Roman"/>
                <w:sz w:val="20"/>
                <w:szCs w:val="20"/>
              </w:rPr>
            </w:pPr>
          </w:p>
        </w:tc>
        <w:tc>
          <w:tcPr>
            <w:tcW w:w="1287" w:type="dxa"/>
          </w:tcPr>
          <w:p w:rsidR="0077250D" w:rsidRPr="00385C03" w:rsidRDefault="0077250D" w:rsidP="00385C03">
            <w:pPr>
              <w:pStyle w:val="ListParagraph"/>
              <w:numPr>
                <w:ilvl w:val="0"/>
                <w:numId w:val="13"/>
              </w:numPr>
              <w:jc w:val="right"/>
              <w:rPr>
                <w:rFonts w:asciiTheme="minorHAnsi" w:eastAsia="Times New Roman" w:hAnsiTheme="minorHAnsi" w:cs="Times New Roman"/>
                <w:sz w:val="20"/>
                <w:szCs w:val="20"/>
              </w:rPr>
            </w:pPr>
          </w:p>
        </w:tc>
        <w:tc>
          <w:tcPr>
            <w:tcW w:w="1287" w:type="dxa"/>
          </w:tcPr>
          <w:p w:rsidR="0077250D" w:rsidRPr="00385C03" w:rsidRDefault="0077250D" w:rsidP="00385C03">
            <w:pPr>
              <w:pStyle w:val="ListParagraph"/>
              <w:numPr>
                <w:ilvl w:val="0"/>
                <w:numId w:val="13"/>
              </w:numPr>
              <w:jc w:val="right"/>
              <w:rPr>
                <w:rFonts w:asciiTheme="minorHAnsi" w:eastAsia="Times New Roman" w:hAnsiTheme="minorHAnsi" w:cs="Times New Roman"/>
                <w:sz w:val="20"/>
                <w:szCs w:val="20"/>
              </w:rPr>
            </w:pP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222</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w:t>
            </w:r>
          </w:p>
        </w:tc>
        <w:tc>
          <w:tcPr>
            <w:tcW w:w="1287" w:type="dxa"/>
          </w:tcPr>
          <w:p w:rsidR="0077250D"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w:t>
            </w:r>
          </w:p>
        </w:tc>
      </w:tr>
      <w:tr w:rsidR="00385C03" w:rsidRPr="00385C03" w:rsidTr="0094755B">
        <w:tc>
          <w:tcPr>
            <w:tcW w:w="2574" w:type="dxa"/>
            <w:tcBorders>
              <w:bottom w:val="single" w:sz="4" w:space="0" w:color="auto"/>
            </w:tcBorders>
          </w:tcPr>
          <w:p w:rsidR="00385C03" w:rsidRPr="0094755B" w:rsidRDefault="00385C03" w:rsidP="00385C03">
            <w:pPr>
              <w:rPr>
                <w:rFonts w:asciiTheme="majorHAnsi" w:eastAsia="Times New Roman" w:hAnsiTheme="majorHAnsi" w:cs="Times New Roman"/>
                <w:b/>
                <w:sz w:val="20"/>
                <w:szCs w:val="20"/>
              </w:rPr>
            </w:pPr>
            <w:r w:rsidRPr="0094755B">
              <w:rPr>
                <w:rFonts w:asciiTheme="majorHAnsi" w:eastAsia="Times New Roman" w:hAnsiTheme="majorHAnsi" w:cs="Times New Roman"/>
                <w:b/>
                <w:sz w:val="20"/>
                <w:szCs w:val="20"/>
              </w:rPr>
              <w:t>Administration</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sidRPr="00385C03">
              <w:rPr>
                <w:rFonts w:asciiTheme="minorHAnsi" w:eastAsia="Times New Roman" w:hAnsiTheme="minorHAnsi" w:cs="Times New Roman"/>
                <w:sz w:val="20"/>
                <w:szCs w:val="20"/>
              </w:rPr>
              <w:t>201.4</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198.1</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198.1</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30,384</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41,737</w:t>
            </w:r>
          </w:p>
        </w:tc>
        <w:tc>
          <w:tcPr>
            <w:tcW w:w="1287" w:type="dxa"/>
            <w:tcBorders>
              <w:bottom w:val="single" w:sz="4" w:space="0" w:color="auto"/>
            </w:tcBorders>
          </w:tcPr>
          <w:p w:rsidR="00385C03" w:rsidRPr="00385C03" w:rsidRDefault="00385C03" w:rsidP="00385C03">
            <w:pPr>
              <w:jc w:val="right"/>
              <w:rPr>
                <w:rFonts w:asciiTheme="minorHAnsi" w:eastAsia="Times New Roman" w:hAnsiTheme="minorHAnsi" w:cs="Times New Roman"/>
                <w:sz w:val="20"/>
                <w:szCs w:val="20"/>
              </w:rPr>
            </w:pPr>
            <w:r>
              <w:rPr>
                <w:rFonts w:asciiTheme="minorHAnsi" w:eastAsia="Times New Roman" w:hAnsiTheme="minorHAnsi" w:cs="Times New Roman"/>
                <w:sz w:val="20"/>
                <w:szCs w:val="20"/>
              </w:rPr>
              <w:t>33,642</w:t>
            </w:r>
          </w:p>
        </w:tc>
      </w:tr>
      <w:tr w:rsidR="00385C03" w:rsidRPr="00385C03" w:rsidTr="0094755B">
        <w:tc>
          <w:tcPr>
            <w:tcW w:w="2574" w:type="dxa"/>
            <w:tcBorders>
              <w:bottom w:val="single" w:sz="4" w:space="0" w:color="auto"/>
              <w:right w:val="single" w:sz="4" w:space="0" w:color="auto"/>
            </w:tcBorders>
          </w:tcPr>
          <w:p w:rsidR="00385C03" w:rsidRPr="0094755B" w:rsidRDefault="00385C03" w:rsidP="00385C03">
            <w:pPr>
              <w:rPr>
                <w:rFonts w:asciiTheme="majorHAnsi" w:eastAsia="Times New Roman" w:hAnsiTheme="majorHAnsi" w:cs="Times New Roman"/>
                <w:b/>
                <w:sz w:val="20"/>
                <w:szCs w:val="20"/>
              </w:rPr>
            </w:pPr>
            <w:r w:rsidRPr="0094755B">
              <w:rPr>
                <w:rFonts w:asciiTheme="majorHAnsi" w:eastAsia="Times New Roman" w:hAnsiTheme="majorHAnsi" w:cs="Times New Roman"/>
                <w:b/>
                <w:sz w:val="20"/>
                <w:szCs w:val="20"/>
              </w:rPr>
              <w:t>TOTALS</w:t>
            </w:r>
          </w:p>
        </w:tc>
        <w:tc>
          <w:tcPr>
            <w:tcW w:w="1287" w:type="dxa"/>
            <w:tcBorders>
              <w:left w:val="single" w:sz="4" w:space="0" w:color="auto"/>
              <w:bottom w:val="single" w:sz="4" w:space="0" w:color="auto"/>
              <w:right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2,672.2</w:t>
            </w:r>
          </w:p>
        </w:tc>
        <w:tc>
          <w:tcPr>
            <w:tcW w:w="1287" w:type="dxa"/>
            <w:tcBorders>
              <w:left w:val="single" w:sz="4" w:space="0" w:color="auto"/>
              <w:bottom w:val="single" w:sz="4" w:space="0" w:color="auto"/>
              <w:right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3,188.1</w:t>
            </w:r>
          </w:p>
        </w:tc>
        <w:tc>
          <w:tcPr>
            <w:tcW w:w="1287" w:type="dxa"/>
            <w:tcBorders>
              <w:left w:val="single" w:sz="4" w:space="0" w:color="auto"/>
              <w:bottom w:val="single" w:sz="4" w:space="0" w:color="auto"/>
              <w:right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3,196.1</w:t>
            </w:r>
          </w:p>
        </w:tc>
        <w:tc>
          <w:tcPr>
            <w:tcW w:w="1287" w:type="dxa"/>
            <w:tcBorders>
              <w:left w:val="single" w:sz="4" w:space="0" w:color="auto"/>
              <w:bottom w:val="single" w:sz="4" w:space="0" w:color="auto"/>
              <w:right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$387,903</w:t>
            </w:r>
          </w:p>
        </w:tc>
        <w:tc>
          <w:tcPr>
            <w:tcW w:w="1287" w:type="dxa"/>
            <w:tcBorders>
              <w:left w:val="single" w:sz="4" w:space="0" w:color="auto"/>
              <w:bottom w:val="single" w:sz="4" w:space="0" w:color="auto"/>
              <w:right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$466,634</w:t>
            </w:r>
          </w:p>
        </w:tc>
        <w:tc>
          <w:tcPr>
            <w:tcW w:w="1287" w:type="dxa"/>
            <w:tcBorders>
              <w:left w:val="single" w:sz="4" w:space="0" w:color="auto"/>
              <w:bottom w:val="single" w:sz="4" w:space="0" w:color="auto"/>
            </w:tcBorders>
          </w:tcPr>
          <w:p w:rsidR="00385C03" w:rsidRPr="00385C03" w:rsidRDefault="00385C03" w:rsidP="00385C03">
            <w:pPr>
              <w:jc w:val="right"/>
              <w:rPr>
                <w:rFonts w:asciiTheme="minorHAnsi" w:eastAsia="Times New Roman" w:hAnsiTheme="minorHAnsi" w:cs="Times New Roman"/>
                <w:b/>
                <w:sz w:val="20"/>
                <w:szCs w:val="20"/>
              </w:rPr>
            </w:pPr>
            <w:r w:rsidRPr="00385C03">
              <w:rPr>
                <w:rFonts w:asciiTheme="minorHAnsi" w:eastAsia="Times New Roman" w:hAnsiTheme="minorHAnsi" w:cs="Times New Roman"/>
                <w:b/>
                <w:sz w:val="20"/>
                <w:szCs w:val="20"/>
              </w:rPr>
              <w:t>$447,588</w:t>
            </w:r>
          </w:p>
        </w:tc>
      </w:tr>
      <w:tr w:rsidR="00385C03" w:rsidRPr="00C419E5" w:rsidTr="00C419E5">
        <w:trPr>
          <w:trHeight w:val="368"/>
        </w:trPr>
        <w:tc>
          <w:tcPr>
            <w:tcW w:w="10296" w:type="dxa"/>
            <w:gridSpan w:val="7"/>
            <w:tcBorders>
              <w:top w:val="single" w:sz="4" w:space="0" w:color="auto"/>
              <w:left w:val="nil"/>
              <w:bottom w:val="nil"/>
              <w:right w:val="nil"/>
            </w:tcBorders>
          </w:tcPr>
          <w:p w:rsidR="00BA4DCF" w:rsidRDefault="00BA4DCF" w:rsidP="00C419E5">
            <w:pPr>
              <w:pStyle w:val="ListParagraph"/>
              <w:jc w:val="right"/>
              <w:rPr>
                <w:rFonts w:asciiTheme="minorHAnsi" w:eastAsia="Times New Roman" w:hAnsiTheme="minorHAnsi" w:cs="Times New Roman"/>
                <w:b/>
                <w:sz w:val="16"/>
                <w:szCs w:val="16"/>
              </w:rPr>
            </w:pPr>
          </w:p>
          <w:p w:rsidR="00C419E5" w:rsidRPr="00C419E5" w:rsidRDefault="00C419E5" w:rsidP="00C419E5">
            <w:pPr>
              <w:pStyle w:val="ListParagraph"/>
              <w:jc w:val="right"/>
              <w:rPr>
                <w:rFonts w:asciiTheme="minorHAnsi" w:eastAsia="Times New Roman" w:hAnsiTheme="minorHAnsi" w:cs="Times New Roman"/>
                <w:b/>
                <w:sz w:val="16"/>
                <w:szCs w:val="16"/>
              </w:rPr>
            </w:pPr>
            <w:r w:rsidRPr="00C419E5">
              <w:rPr>
                <w:rFonts w:asciiTheme="minorHAnsi" w:eastAsia="Times New Roman" w:hAnsiTheme="minorHAnsi" w:cs="Times New Roman"/>
                <w:b/>
                <w:sz w:val="16"/>
                <w:szCs w:val="16"/>
              </w:rPr>
              <w:t>*Per 2017-18 Governor’s Budget</w:t>
            </w:r>
            <w:r w:rsidR="0094755B">
              <w:rPr>
                <w:rFonts w:asciiTheme="minorHAnsi" w:eastAsia="Times New Roman" w:hAnsiTheme="minorHAnsi" w:cs="Times New Roman"/>
                <w:b/>
                <w:sz w:val="16"/>
                <w:szCs w:val="16"/>
              </w:rPr>
              <w:t xml:space="preserve"> (Jan. 10, 2017)</w:t>
            </w:r>
          </w:p>
          <w:p w:rsidR="00385C03" w:rsidRPr="00C419E5" w:rsidRDefault="00385C03" w:rsidP="00C419E5">
            <w:pPr>
              <w:pStyle w:val="ListParagraph"/>
              <w:jc w:val="right"/>
              <w:rPr>
                <w:rFonts w:asciiTheme="minorHAnsi" w:eastAsia="Times New Roman" w:hAnsiTheme="minorHAnsi" w:cs="Times New Roman"/>
                <w:b/>
                <w:sz w:val="16"/>
                <w:szCs w:val="16"/>
              </w:rPr>
            </w:pPr>
            <w:r w:rsidRPr="00C419E5">
              <w:rPr>
                <w:rFonts w:asciiTheme="minorHAnsi" w:eastAsia="Times New Roman" w:hAnsiTheme="minorHAnsi" w:cs="Times New Roman"/>
                <w:b/>
                <w:sz w:val="16"/>
                <w:szCs w:val="16"/>
              </w:rPr>
              <w:t>*</w:t>
            </w:r>
            <w:r w:rsidR="00C419E5" w:rsidRPr="00C419E5">
              <w:rPr>
                <w:rFonts w:asciiTheme="minorHAnsi" w:eastAsia="Times New Roman" w:hAnsiTheme="minorHAnsi" w:cs="Times New Roman"/>
                <w:b/>
                <w:sz w:val="16"/>
                <w:szCs w:val="16"/>
              </w:rPr>
              <w:t>*</w:t>
            </w:r>
            <w:r w:rsidRPr="00C419E5">
              <w:rPr>
                <w:rFonts w:asciiTheme="minorHAnsi" w:eastAsia="Times New Roman" w:hAnsiTheme="minorHAnsi" w:cs="Times New Roman"/>
                <w:b/>
                <w:sz w:val="16"/>
                <w:szCs w:val="16"/>
              </w:rPr>
              <w:t>Dollars in Thousands</w:t>
            </w:r>
          </w:p>
        </w:tc>
      </w:tr>
    </w:tbl>
    <w:p w:rsidR="0077250D" w:rsidRPr="00385C03" w:rsidRDefault="0077250D" w:rsidP="0094755B">
      <w:pPr>
        <w:rPr>
          <w:rFonts w:asciiTheme="majorHAnsi" w:eastAsia="Times New Roman" w:hAnsiTheme="majorHAnsi" w:cs="Times New Roman"/>
          <w:szCs w:val="24"/>
          <w:u w:val="single"/>
        </w:rPr>
      </w:pPr>
    </w:p>
    <w:p w:rsidR="0077250D" w:rsidRPr="00475691" w:rsidRDefault="0077250D" w:rsidP="0094755B">
      <w:pPr>
        <w:rPr>
          <w:rFonts w:asciiTheme="majorHAnsi" w:eastAsia="Times New Roman" w:hAnsiTheme="majorHAnsi" w:cs="Times New Roman"/>
          <w:b/>
          <w:szCs w:val="24"/>
          <w:u w:val="single"/>
        </w:rPr>
      </w:pPr>
    </w:p>
    <w:p w:rsidR="00A06FB9" w:rsidRDefault="00A06FB9">
      <w:pPr>
        <w:rPr>
          <w:rFonts w:asciiTheme="majorHAnsi" w:eastAsia="Times New Roman" w:hAnsiTheme="majorHAnsi" w:cs="Times New Roman"/>
          <w:b/>
          <w:szCs w:val="24"/>
          <w:u w:val="single"/>
        </w:rPr>
      </w:pPr>
      <w:r>
        <w:rPr>
          <w:rFonts w:asciiTheme="majorHAnsi" w:eastAsia="Times New Roman" w:hAnsiTheme="majorHAnsi" w:cs="Times New Roman"/>
          <w:b/>
          <w:szCs w:val="24"/>
          <w:u w:val="single"/>
        </w:rPr>
        <w:br w:type="page"/>
      </w:r>
    </w:p>
    <w:p w:rsidR="00475691" w:rsidRPr="00475691" w:rsidRDefault="00475691" w:rsidP="0094755B">
      <w:pPr>
        <w:rPr>
          <w:rFonts w:asciiTheme="majorHAnsi" w:eastAsia="Times New Roman" w:hAnsiTheme="majorHAnsi" w:cs="Times New Roman"/>
          <w:b/>
          <w:szCs w:val="24"/>
          <w:u w:val="single"/>
        </w:rPr>
      </w:pPr>
    </w:p>
    <w:p w:rsidR="00475691" w:rsidRPr="00475691" w:rsidRDefault="00475691" w:rsidP="00C419E5">
      <w:pPr>
        <w:rPr>
          <w:rFonts w:asciiTheme="majorHAnsi" w:eastAsia="Times New Roman" w:hAnsiTheme="majorHAnsi" w:cs="Times New Roman"/>
          <w:b/>
          <w:szCs w:val="24"/>
        </w:rPr>
      </w:pPr>
      <w:r w:rsidRPr="00475691">
        <w:rPr>
          <w:rFonts w:asciiTheme="majorHAnsi" w:eastAsia="Times New Roman" w:hAnsiTheme="majorHAnsi" w:cs="Times New Roman"/>
          <w:b/>
          <w:szCs w:val="24"/>
        </w:rPr>
        <w:t>Veterans Homes of California</w:t>
      </w:r>
    </w:p>
    <w:p w:rsidR="00475691" w:rsidRPr="00475691" w:rsidRDefault="00475691" w:rsidP="00475691">
      <w:pPr>
        <w:jc w:val="center"/>
        <w:rPr>
          <w:rFonts w:asciiTheme="majorHAnsi" w:eastAsia="Times New Roman" w:hAnsiTheme="majorHAnsi" w:cs="Times New Roman"/>
          <w:szCs w:val="24"/>
          <w:u w:val="single"/>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The VHC are long-term residential care facilities that provide California's aged or disabled</w:t>
      </w:r>
      <w:r w:rsidR="0029060B">
        <w:rPr>
          <w:rFonts w:asciiTheme="majorHAnsi" w:eastAsia="Times New Roman" w:hAnsiTheme="majorHAnsi" w:cs="Times New Roman"/>
          <w:szCs w:val="24"/>
        </w:rPr>
        <w:t xml:space="preserve"> V</w:t>
      </w:r>
      <w:r w:rsidRPr="00475691">
        <w:rPr>
          <w:rFonts w:asciiTheme="majorHAnsi" w:eastAsia="Times New Roman" w:hAnsiTheme="majorHAnsi" w:cs="Times New Roman"/>
          <w:szCs w:val="24"/>
        </w:rPr>
        <w:t xml:space="preserve">eterans with rehabilitative, residential, medical, and support services in a home-like environment. Spouses of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also are eligible for home membership. Approximately 80 percent of CalVet’s budget expenditures (excluding capital outlay) are spent on operating veterans homes, which are budgeted to house about 2,534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in the current fiscal year.   </w:t>
      </w:r>
    </w:p>
    <w:p w:rsidR="00475691" w:rsidRPr="00475691" w:rsidRDefault="00475691" w:rsidP="00475691">
      <w:pPr>
        <w:rPr>
          <w:rFonts w:asciiTheme="majorHAnsi" w:eastAsia="Times New Roman" w:hAnsiTheme="majorHAnsi" w:cs="Times New Roman"/>
          <w:szCs w:val="24"/>
        </w:rPr>
      </w:pPr>
    </w:p>
    <w:p w:rsidR="0094755B" w:rsidRDefault="0094755B" w:rsidP="00475691">
      <w:pPr>
        <w:rPr>
          <w:rFonts w:asciiTheme="majorHAnsi" w:eastAsia="Times New Roman" w:hAnsiTheme="majorHAnsi" w:cs="Times New Roman"/>
          <w:szCs w:val="24"/>
        </w:rPr>
      </w:pPr>
      <w:r>
        <w:rPr>
          <w:rFonts w:asciiTheme="majorHAnsi" w:eastAsia="Times New Roman" w:hAnsiTheme="majorHAnsi" w:cs="Times New Roman"/>
          <w:szCs w:val="24"/>
        </w:rPr>
        <w:t xml:space="preserve">Currently, </w:t>
      </w:r>
      <w:r w:rsidR="00475691" w:rsidRPr="00475691">
        <w:rPr>
          <w:rFonts w:asciiTheme="majorHAnsi" w:eastAsia="Times New Roman" w:hAnsiTheme="majorHAnsi" w:cs="Times New Roman"/>
          <w:szCs w:val="24"/>
        </w:rPr>
        <w:t xml:space="preserve">CalVet operates </w:t>
      </w:r>
      <w:r>
        <w:rPr>
          <w:rFonts w:asciiTheme="majorHAnsi" w:eastAsia="Times New Roman" w:hAnsiTheme="majorHAnsi" w:cs="Times New Roman"/>
          <w:szCs w:val="24"/>
        </w:rPr>
        <w:t>eight home campuses, which provide varying levels of care:</w:t>
      </w:r>
    </w:p>
    <w:p w:rsidR="0094755B" w:rsidRDefault="0094755B" w:rsidP="00475691">
      <w:pPr>
        <w:rPr>
          <w:rFonts w:asciiTheme="majorHAnsi" w:eastAsia="Times New Roman" w:hAnsiTheme="majorHAnsi" w:cs="Times New Roman"/>
          <w:szCs w:val="24"/>
        </w:rPr>
      </w:pP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The Veterans Home of California, Barstow</w:t>
      </w:r>
      <w:r>
        <w:rPr>
          <w:rFonts w:asciiTheme="majorHAnsi" w:eastAsia="Times New Roman" w:hAnsiTheme="majorHAnsi" w:cs="Times New Roman"/>
          <w:szCs w:val="24"/>
        </w:rPr>
        <w:t xml:space="preserve"> (400 beds)</w:t>
      </w:r>
      <w:r w:rsidRPr="0094755B">
        <w:rPr>
          <w:rFonts w:asciiTheme="majorHAnsi" w:eastAsia="Times New Roman" w:hAnsiTheme="majorHAnsi" w:cs="Times New Roman"/>
          <w:szCs w:val="24"/>
        </w:rPr>
        <w:t xml:space="preserve"> offers skilled nursing, intermediate, and domiciliary care.</w:t>
      </w: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 xml:space="preserve">The Veterans Home of California, Chula Vista </w:t>
      </w:r>
      <w:r>
        <w:rPr>
          <w:rFonts w:asciiTheme="majorHAnsi" w:eastAsia="Times New Roman" w:hAnsiTheme="majorHAnsi" w:cs="Times New Roman"/>
          <w:szCs w:val="24"/>
        </w:rPr>
        <w:t xml:space="preserve">(400 beds) </w:t>
      </w:r>
      <w:r w:rsidRPr="0094755B">
        <w:rPr>
          <w:rFonts w:asciiTheme="majorHAnsi" w:eastAsia="Times New Roman" w:hAnsiTheme="majorHAnsi" w:cs="Times New Roman"/>
          <w:szCs w:val="24"/>
        </w:rPr>
        <w:t>offers skilled nursing, residential care for the elderly, and domiciliary care.</w:t>
      </w: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 xml:space="preserve">The Veterans Home of California, Fresno </w:t>
      </w:r>
      <w:r>
        <w:rPr>
          <w:rFonts w:asciiTheme="majorHAnsi" w:eastAsia="Times New Roman" w:hAnsiTheme="majorHAnsi" w:cs="Times New Roman"/>
          <w:szCs w:val="24"/>
        </w:rPr>
        <w:t xml:space="preserve">(300 beds) </w:t>
      </w:r>
      <w:r w:rsidRPr="0094755B">
        <w:rPr>
          <w:rFonts w:asciiTheme="majorHAnsi" w:eastAsia="Times New Roman" w:hAnsiTheme="majorHAnsi" w:cs="Times New Roman"/>
          <w:szCs w:val="24"/>
        </w:rPr>
        <w:t>offers skilled nursing, including memory care, and residential care for the elderly.</w:t>
      </w: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The Veterans Home of California, Greater Los Angeles and Ventura County includes three main campuses: West Los Angeles</w:t>
      </w:r>
      <w:r>
        <w:rPr>
          <w:rFonts w:asciiTheme="majorHAnsi" w:eastAsia="Times New Roman" w:hAnsiTheme="majorHAnsi" w:cs="Times New Roman"/>
          <w:szCs w:val="24"/>
        </w:rPr>
        <w:t xml:space="preserve"> (WLA) (396 beds)</w:t>
      </w:r>
      <w:r w:rsidRPr="0094755B">
        <w:rPr>
          <w:rFonts w:asciiTheme="majorHAnsi" w:eastAsia="Times New Roman" w:hAnsiTheme="majorHAnsi" w:cs="Times New Roman"/>
          <w:szCs w:val="24"/>
        </w:rPr>
        <w:t>, Lancaster</w:t>
      </w:r>
      <w:r>
        <w:rPr>
          <w:rFonts w:asciiTheme="majorHAnsi" w:eastAsia="Times New Roman" w:hAnsiTheme="majorHAnsi" w:cs="Times New Roman"/>
          <w:szCs w:val="24"/>
        </w:rPr>
        <w:t xml:space="preserve"> (60 beds)</w:t>
      </w:r>
      <w:r w:rsidRPr="0094755B">
        <w:rPr>
          <w:rFonts w:asciiTheme="majorHAnsi" w:eastAsia="Times New Roman" w:hAnsiTheme="majorHAnsi" w:cs="Times New Roman"/>
          <w:szCs w:val="24"/>
        </w:rPr>
        <w:t>, and Ventura</w:t>
      </w:r>
      <w:r>
        <w:rPr>
          <w:rFonts w:asciiTheme="majorHAnsi" w:eastAsia="Times New Roman" w:hAnsiTheme="majorHAnsi" w:cs="Times New Roman"/>
          <w:szCs w:val="24"/>
        </w:rPr>
        <w:t xml:space="preserve"> (60 beds)</w:t>
      </w:r>
      <w:r w:rsidRPr="0094755B">
        <w:rPr>
          <w:rFonts w:asciiTheme="majorHAnsi" w:eastAsia="Times New Roman" w:hAnsiTheme="majorHAnsi" w:cs="Times New Roman"/>
          <w:szCs w:val="24"/>
        </w:rPr>
        <w:t>. All three offer residential care for the elderly. The WLA campus also offers skilled nursing care, including memory care, and domiciliary care in the form of a transitional housing program.</w:t>
      </w: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 xml:space="preserve">The Veterans Home of California, Redding </w:t>
      </w:r>
      <w:r>
        <w:rPr>
          <w:rFonts w:asciiTheme="majorHAnsi" w:eastAsia="Times New Roman" w:hAnsiTheme="majorHAnsi" w:cs="Times New Roman"/>
          <w:szCs w:val="24"/>
        </w:rPr>
        <w:t xml:space="preserve">(150) </w:t>
      </w:r>
      <w:r w:rsidRPr="0094755B">
        <w:rPr>
          <w:rFonts w:asciiTheme="majorHAnsi" w:eastAsia="Times New Roman" w:hAnsiTheme="majorHAnsi" w:cs="Times New Roman"/>
          <w:szCs w:val="24"/>
        </w:rPr>
        <w:t>offers skilled nursing, including memory care, and residential care.</w:t>
      </w:r>
    </w:p>
    <w:p w:rsidR="0094755B" w:rsidRPr="0094755B" w:rsidRDefault="0094755B" w:rsidP="0094755B">
      <w:pPr>
        <w:numPr>
          <w:ilvl w:val="0"/>
          <w:numId w:val="14"/>
        </w:numPr>
        <w:spacing w:after="140"/>
        <w:rPr>
          <w:rFonts w:asciiTheme="majorHAnsi" w:eastAsia="Times New Roman" w:hAnsiTheme="majorHAnsi" w:cs="Times New Roman"/>
          <w:szCs w:val="24"/>
        </w:rPr>
      </w:pPr>
      <w:r w:rsidRPr="0094755B">
        <w:rPr>
          <w:rFonts w:asciiTheme="majorHAnsi" w:eastAsia="Times New Roman" w:hAnsiTheme="majorHAnsi" w:cs="Times New Roman"/>
          <w:szCs w:val="24"/>
        </w:rPr>
        <w:t>The Veterans Home of California, Yountville</w:t>
      </w:r>
      <w:r>
        <w:rPr>
          <w:rFonts w:asciiTheme="majorHAnsi" w:eastAsia="Times New Roman" w:hAnsiTheme="majorHAnsi" w:cs="Times New Roman"/>
          <w:szCs w:val="24"/>
        </w:rPr>
        <w:t xml:space="preserve"> (1,184 beds)</w:t>
      </w:r>
      <w:r w:rsidRPr="0094755B">
        <w:rPr>
          <w:rFonts w:asciiTheme="majorHAnsi" w:eastAsia="Times New Roman" w:hAnsiTheme="majorHAnsi" w:cs="Times New Roman"/>
          <w:szCs w:val="24"/>
        </w:rPr>
        <w:t xml:space="preserve"> is the largest veterans home in the United States. It offers all four levels of care: skilled nursing, intermediate, residential care for the elderly, and domiciliary care. The skilled nursing also includes a memory care facility with a supervised environment.</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VHC operations are funded by the General Fund, but CalVet receives revenue for VHC from several sources, including member fees, federal per diem, </w:t>
      </w:r>
      <w:r w:rsidR="006B736A" w:rsidRPr="00475691">
        <w:rPr>
          <w:rFonts w:asciiTheme="majorHAnsi" w:eastAsia="Times New Roman" w:hAnsiTheme="majorHAnsi" w:cs="Times New Roman"/>
          <w:szCs w:val="24"/>
        </w:rPr>
        <w:t>and Medicare</w:t>
      </w:r>
      <w:r w:rsidRPr="00475691">
        <w:rPr>
          <w:rFonts w:asciiTheme="majorHAnsi" w:eastAsia="Times New Roman" w:hAnsiTheme="majorHAnsi" w:cs="Times New Roman"/>
          <w:szCs w:val="24"/>
        </w:rPr>
        <w:t xml:space="preserve"> and Medi-Cal reimbursements</w:t>
      </w:r>
      <w:r w:rsidR="0094755B">
        <w:rPr>
          <w:rFonts w:asciiTheme="majorHAnsi" w:eastAsia="Times New Roman" w:hAnsiTheme="majorHAnsi" w:cs="Times New Roman"/>
          <w:szCs w:val="24"/>
        </w:rPr>
        <w:t>.</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An audit was completed of the home programs with the results released in May, 2013.  The audit is a comprehensive look at the program model and its implementation. A whistleblower audit was released in 2011 concerning </w:t>
      </w:r>
      <w:r w:rsidR="00A06FB9">
        <w:rPr>
          <w:rFonts w:asciiTheme="majorHAnsi" w:eastAsia="Times New Roman" w:hAnsiTheme="majorHAnsi" w:cs="Times New Roman"/>
          <w:szCs w:val="24"/>
        </w:rPr>
        <w:t>the lack of controls and inappropriate expenditure of local Morale, Welfare, and Recreation (</w:t>
      </w:r>
      <w:r w:rsidRPr="00475691">
        <w:rPr>
          <w:rFonts w:asciiTheme="majorHAnsi" w:eastAsia="Times New Roman" w:hAnsiTheme="majorHAnsi" w:cs="Times New Roman"/>
          <w:szCs w:val="24"/>
        </w:rPr>
        <w:t>MWR</w:t>
      </w:r>
      <w:r w:rsidR="00A06FB9">
        <w:rPr>
          <w:rFonts w:asciiTheme="majorHAnsi" w:eastAsia="Times New Roman" w:hAnsiTheme="majorHAnsi" w:cs="Times New Roman"/>
          <w:szCs w:val="24"/>
        </w:rPr>
        <w:t>)</w:t>
      </w:r>
      <w:r w:rsidRPr="00475691">
        <w:rPr>
          <w:rFonts w:asciiTheme="majorHAnsi" w:eastAsia="Times New Roman" w:hAnsiTheme="majorHAnsi" w:cs="Times New Roman"/>
          <w:szCs w:val="24"/>
        </w:rPr>
        <w:t xml:space="preserve"> at the Yountville home. </w:t>
      </w:r>
      <w:r w:rsidR="00A06FB9">
        <w:rPr>
          <w:rFonts w:asciiTheme="majorHAnsi" w:eastAsia="Times New Roman" w:hAnsiTheme="majorHAnsi" w:cs="Times New Roman"/>
          <w:szCs w:val="24"/>
        </w:rPr>
        <w:t>Senate Bill 543 (Wolk, Ch. 424, Stats. 2016) enacted control measures to address audit concerns.</w:t>
      </w:r>
    </w:p>
    <w:p w:rsidR="00475691" w:rsidRDefault="00475691" w:rsidP="00475691">
      <w:pPr>
        <w:jc w:val="center"/>
        <w:rPr>
          <w:rFonts w:asciiTheme="majorHAnsi" w:eastAsia="Times New Roman" w:hAnsiTheme="majorHAnsi" w:cs="Times New Roman"/>
          <w:szCs w:val="24"/>
        </w:rPr>
      </w:pPr>
    </w:p>
    <w:p w:rsidR="00A06FB9" w:rsidRDefault="00A06FB9" w:rsidP="00475691">
      <w:pPr>
        <w:jc w:val="center"/>
        <w:rPr>
          <w:rFonts w:asciiTheme="majorHAnsi" w:eastAsia="Times New Roman" w:hAnsiTheme="majorHAnsi" w:cs="Times New Roman"/>
          <w:szCs w:val="24"/>
        </w:rPr>
      </w:pPr>
    </w:p>
    <w:p w:rsidR="00A06FB9" w:rsidRPr="00475691" w:rsidRDefault="00A06FB9" w:rsidP="00475691">
      <w:pPr>
        <w:jc w:val="center"/>
        <w:rPr>
          <w:rFonts w:asciiTheme="majorHAnsi" w:eastAsia="Times New Roman" w:hAnsiTheme="majorHAnsi" w:cs="Times New Roman"/>
          <w:szCs w:val="24"/>
        </w:rPr>
      </w:pPr>
    </w:p>
    <w:p w:rsidR="00475691" w:rsidRPr="00475691" w:rsidRDefault="00475691" w:rsidP="00475691">
      <w:pPr>
        <w:jc w:val="center"/>
        <w:rPr>
          <w:rFonts w:asciiTheme="majorHAnsi" w:eastAsia="Times New Roman" w:hAnsiTheme="majorHAnsi" w:cs="Times New Roman"/>
          <w:b/>
          <w:szCs w:val="24"/>
          <w:u w:val="single"/>
        </w:rPr>
      </w:pPr>
    </w:p>
    <w:p w:rsidR="00BA4DCF" w:rsidRDefault="00BA4DCF" w:rsidP="00E413D9">
      <w:pPr>
        <w:rPr>
          <w:rFonts w:asciiTheme="majorHAnsi" w:eastAsia="Times New Roman" w:hAnsiTheme="majorHAnsi" w:cs="Times New Roman"/>
          <w:szCs w:val="24"/>
          <w:u w:val="single"/>
        </w:rPr>
      </w:pPr>
    </w:p>
    <w:p w:rsidR="00E413D9" w:rsidRDefault="00E413D9" w:rsidP="00E413D9">
      <w:pPr>
        <w:rPr>
          <w:rFonts w:asciiTheme="majorHAnsi" w:eastAsia="Times New Roman" w:hAnsiTheme="majorHAnsi" w:cs="Times New Roman"/>
          <w:b/>
          <w:szCs w:val="24"/>
          <w:u w:val="single"/>
        </w:rPr>
      </w:pPr>
    </w:p>
    <w:p w:rsidR="00475691" w:rsidRPr="00475691" w:rsidRDefault="00475691" w:rsidP="00BA4DCF">
      <w:pPr>
        <w:rPr>
          <w:rFonts w:asciiTheme="majorHAnsi" w:eastAsia="Times New Roman" w:hAnsiTheme="majorHAnsi" w:cs="Times New Roman"/>
          <w:b/>
          <w:szCs w:val="24"/>
        </w:rPr>
      </w:pPr>
      <w:r w:rsidRPr="00475691">
        <w:rPr>
          <w:rFonts w:asciiTheme="majorHAnsi" w:eastAsia="Times New Roman" w:hAnsiTheme="majorHAnsi" w:cs="Times New Roman"/>
          <w:b/>
          <w:szCs w:val="24"/>
        </w:rPr>
        <w:t>Subvention to County Veteran Service Officers</w:t>
      </w:r>
    </w:p>
    <w:p w:rsidR="00475691" w:rsidRPr="00475691" w:rsidRDefault="00475691" w:rsidP="00475691">
      <w:pPr>
        <w:rPr>
          <w:rFonts w:asciiTheme="majorHAnsi" w:eastAsia="Times New Roman" w:hAnsiTheme="majorHAnsi" w:cs="Times New Roman"/>
          <w:b/>
          <w:szCs w:val="24"/>
          <w:u w:val="single"/>
        </w:rPr>
      </w:pPr>
    </w:p>
    <w:p w:rsidR="00475691" w:rsidRPr="00475691" w:rsidRDefault="00BA4DCF" w:rsidP="00475691">
      <w:pPr>
        <w:rPr>
          <w:rFonts w:asciiTheme="majorHAnsi" w:eastAsia="Times New Roman" w:hAnsiTheme="majorHAnsi" w:cs="Times New Roman"/>
          <w:szCs w:val="24"/>
        </w:rPr>
      </w:pPr>
      <w:r>
        <w:rPr>
          <w:rFonts w:asciiTheme="majorHAnsi" w:eastAsia="Times New Roman" w:hAnsiTheme="majorHAnsi" w:cs="Times New Roman"/>
          <w:szCs w:val="24"/>
        </w:rPr>
        <w:t>County veterans service o</w:t>
      </w:r>
      <w:r w:rsidR="00475691" w:rsidRPr="00475691">
        <w:rPr>
          <w:rFonts w:asciiTheme="majorHAnsi" w:eastAsia="Times New Roman" w:hAnsiTheme="majorHAnsi" w:cs="Times New Roman"/>
          <w:szCs w:val="24"/>
        </w:rPr>
        <w:t xml:space="preserve">fficers, </w:t>
      </w:r>
      <w:r>
        <w:rPr>
          <w:rFonts w:asciiTheme="majorHAnsi" w:eastAsia="Times New Roman" w:hAnsiTheme="majorHAnsi" w:cs="Times New Roman"/>
          <w:szCs w:val="24"/>
        </w:rPr>
        <w:t xml:space="preserve">found </w:t>
      </w:r>
      <w:r w:rsidR="00475691" w:rsidRPr="00475691">
        <w:rPr>
          <w:rFonts w:asciiTheme="majorHAnsi" w:eastAsia="Times New Roman" w:hAnsiTheme="majorHAnsi" w:cs="Times New Roman"/>
          <w:szCs w:val="24"/>
        </w:rPr>
        <w:t xml:space="preserve">in 56 of the state's 58 counties, </w:t>
      </w:r>
      <w:r>
        <w:rPr>
          <w:rFonts w:asciiTheme="majorHAnsi" w:eastAsia="Times New Roman" w:hAnsiTheme="majorHAnsi" w:cs="Times New Roman"/>
          <w:szCs w:val="24"/>
        </w:rPr>
        <w:t xml:space="preserve">usually </w:t>
      </w:r>
      <w:r w:rsidR="00475691" w:rsidRPr="00475691">
        <w:rPr>
          <w:rFonts w:asciiTheme="majorHAnsi" w:eastAsia="Times New Roman" w:hAnsiTheme="majorHAnsi" w:cs="Times New Roman"/>
          <w:szCs w:val="24"/>
        </w:rPr>
        <w:t xml:space="preserve">are the main point of contact for California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seeking </w:t>
      </w:r>
      <w:r>
        <w:rPr>
          <w:rFonts w:asciiTheme="majorHAnsi" w:eastAsia="Times New Roman" w:hAnsiTheme="majorHAnsi" w:cs="Times New Roman"/>
          <w:szCs w:val="24"/>
        </w:rPr>
        <w:t xml:space="preserve">most </w:t>
      </w:r>
      <w:r w:rsidR="00475691" w:rsidRPr="00475691">
        <w:rPr>
          <w:rFonts w:asciiTheme="majorHAnsi" w:eastAsia="Times New Roman" w:hAnsiTheme="majorHAnsi" w:cs="Times New Roman"/>
          <w:szCs w:val="24"/>
        </w:rPr>
        <w:t xml:space="preserve">forms of government assistance. CVSOs assist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in completing applications for federal benefits, such as disability and compensation benefits. CVSO's are created and controlled by county boards of supervisors and often receive a majority of their funding from counties, although CalVet has traditionally contributed $2.6 million in state General Fund annually for CVSO's work with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seeking various benefits. Funding was increased in the 2013 budget for an additional $3 million dollars, increasing the funding to $5.6 million.  </w:t>
      </w:r>
      <w:r w:rsidR="003D67EB">
        <w:rPr>
          <w:rFonts w:asciiTheme="majorHAnsi" w:eastAsia="Times New Roman" w:hAnsiTheme="majorHAnsi" w:cs="Times New Roman"/>
          <w:szCs w:val="24"/>
        </w:rPr>
        <w:t>Subsequent</w:t>
      </w:r>
      <w:r w:rsidR="00475691" w:rsidRPr="00475691">
        <w:rPr>
          <w:rFonts w:asciiTheme="majorHAnsi" w:eastAsia="Times New Roman" w:hAnsiTheme="majorHAnsi" w:cs="Times New Roman"/>
          <w:szCs w:val="24"/>
        </w:rPr>
        <w:t xml:space="preserve"> budget</w:t>
      </w:r>
      <w:r w:rsidR="003D67EB">
        <w:rPr>
          <w:rFonts w:asciiTheme="majorHAnsi" w:eastAsia="Times New Roman" w:hAnsiTheme="majorHAnsi" w:cs="Times New Roman"/>
          <w:szCs w:val="24"/>
        </w:rPr>
        <w:t>s have sustained this increase.</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autoSpaceDE w:val="0"/>
        <w:autoSpaceDN w:val="0"/>
        <w:adjustRightInd w:val="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increase in funding created a significant boost in the CVSO’s and CalVet’s ability to connect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in their communities with the expansion of outreach activities, thereby linking more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with their community-based system of care and local service providers.  The funds allowed for the deployment of 32.5 additional professional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service representatives and 30 support staff to connect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with their compensation and pension benefits available through the U.S. Department of Veterans Affairs (USDVA), resulting in an increase of federal dollars drawn down to the state this year and for years to come. </w:t>
      </w:r>
    </w:p>
    <w:p w:rsidR="00475691" w:rsidRPr="00475691" w:rsidRDefault="00475691" w:rsidP="00475691">
      <w:pPr>
        <w:autoSpaceDE w:val="0"/>
        <w:autoSpaceDN w:val="0"/>
        <w:adjustRightInd w:val="0"/>
        <w:rPr>
          <w:rFonts w:asciiTheme="majorHAnsi" w:eastAsia="Times New Roman" w:hAnsiTheme="majorHAnsi" w:cs="Times New Roman"/>
          <w:szCs w:val="24"/>
        </w:rPr>
      </w:pPr>
    </w:p>
    <w:p w:rsidR="00475691" w:rsidRPr="00475691" w:rsidRDefault="00475691" w:rsidP="00475691">
      <w:pPr>
        <w:autoSpaceDE w:val="0"/>
        <w:autoSpaceDN w:val="0"/>
        <w:adjustRightInd w:val="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This increase is shown in the surge in participation rates of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in California receiving USDVA Compensation and Pension</w:t>
      </w:r>
      <w:r w:rsidR="00BA4DCF">
        <w:rPr>
          <w:rFonts w:asciiTheme="majorHAnsi" w:eastAsia="Times New Roman" w:hAnsiTheme="majorHAnsi" w:cs="Times New Roman"/>
          <w:szCs w:val="24"/>
        </w:rPr>
        <w:t xml:space="preserve"> (C&amp;P)</w:t>
      </w:r>
      <w:r w:rsidRPr="00475691">
        <w:rPr>
          <w:rFonts w:asciiTheme="majorHAnsi" w:eastAsia="Times New Roman" w:hAnsiTheme="majorHAnsi" w:cs="Times New Roman"/>
          <w:szCs w:val="24"/>
        </w:rPr>
        <w:t xml:space="preserve"> benefits from 15.7% in 2011 to 18.9% in 2013</w:t>
      </w:r>
      <w:r w:rsidR="002A0470">
        <w:rPr>
          <w:rFonts w:asciiTheme="majorHAnsi" w:eastAsia="Times New Roman" w:hAnsiTheme="majorHAnsi" w:cs="Times New Roman"/>
          <w:szCs w:val="24"/>
        </w:rPr>
        <w:t xml:space="preserve"> to 21.8% in 2016.</w:t>
      </w:r>
      <w:r w:rsidRPr="00475691">
        <w:rPr>
          <w:rFonts w:asciiTheme="majorHAnsi" w:eastAsia="Times New Roman" w:hAnsiTheme="majorHAnsi" w:cs="Times New Roman"/>
          <w:szCs w:val="24"/>
        </w:rPr>
        <w:t xml:space="preserve">—surpassing the </w:t>
      </w:r>
      <w:r w:rsidR="002A0470">
        <w:rPr>
          <w:rFonts w:asciiTheme="majorHAnsi" w:eastAsia="Times New Roman" w:hAnsiTheme="majorHAnsi" w:cs="Times New Roman"/>
          <w:szCs w:val="24"/>
        </w:rPr>
        <w:t>national average in 2013 of 20.8</w:t>
      </w:r>
      <w:r w:rsidRPr="00475691">
        <w:rPr>
          <w:rFonts w:asciiTheme="majorHAnsi" w:eastAsia="Times New Roman" w:hAnsiTheme="majorHAnsi" w:cs="Times New Roman"/>
          <w:szCs w:val="24"/>
        </w:rPr>
        <w:t xml:space="preserve">%. </w:t>
      </w:r>
      <w:r w:rsidR="002A0470">
        <w:rPr>
          <w:rFonts w:asciiTheme="majorHAnsi" w:eastAsia="Times New Roman" w:hAnsiTheme="majorHAnsi" w:cs="Times New Roman"/>
          <w:szCs w:val="24"/>
        </w:rPr>
        <w:t xml:space="preserve"> </w:t>
      </w:r>
      <w:r w:rsidRPr="00475691">
        <w:rPr>
          <w:rFonts w:asciiTheme="majorHAnsi" w:eastAsia="Times New Roman" w:hAnsiTheme="majorHAnsi" w:cs="Times New Roman"/>
          <w:i/>
          <w:szCs w:val="24"/>
        </w:rPr>
        <w:t xml:space="preserve">(Source: </w:t>
      </w:r>
      <w:r w:rsidR="002A0470">
        <w:rPr>
          <w:rFonts w:asciiTheme="majorHAnsi" w:eastAsia="Times New Roman" w:hAnsiTheme="majorHAnsi" w:cs="Times New Roman"/>
          <w:i/>
          <w:szCs w:val="24"/>
        </w:rPr>
        <w:t>2017 Annual Report, California Association of County Veterans Service Officers)</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Per Military and Veterans Code 972.1, CalVet has the authority to determine how to distribute the subvention funds to the counties. Most of the funding is distributed based on workload reports submitted by CVSOs. </w:t>
      </w:r>
    </w:p>
    <w:p w:rsidR="00475691" w:rsidRPr="00475691" w:rsidRDefault="00475691"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 key CVSO activity is helping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apply for federal disability compensation and pension benefits. These benefits are monthly payments to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and CalVet has made it a top goal to improve the number of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who receive these benefits. This is a goal for an obvious reason: more federal dollars flowing into the state is a clear boost to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and the state's economy. One estimate by the U.S. Department of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Administration suggests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may be forgoing as much as $1 billion in benefits they are entitled to. </w:t>
      </w:r>
    </w:p>
    <w:p w:rsidR="00475691" w:rsidRPr="00475691" w:rsidRDefault="00475691" w:rsidP="00475691">
      <w:pPr>
        <w:rPr>
          <w:rFonts w:asciiTheme="majorHAnsi" w:eastAsia="Times New Roman" w:hAnsiTheme="majorHAnsi" w:cs="Times New Roman"/>
          <w:szCs w:val="24"/>
        </w:rPr>
      </w:pPr>
    </w:p>
    <w:p w:rsid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Approximately 15 percent of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receive federal compensation and pension benefits, averaging $1,929 per month per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 While the percentage of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receiving these benefits has improved in recent years, the state still lags behind other states with large veteran populations like Texas and Florida.  The national average is approximately $2,104 per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w:t>
      </w:r>
    </w:p>
    <w:p w:rsidR="00BA4DCF" w:rsidRDefault="00BA4DCF" w:rsidP="00475691">
      <w:pPr>
        <w:rPr>
          <w:rFonts w:asciiTheme="majorHAnsi" w:eastAsia="Times New Roman" w:hAnsiTheme="majorHAnsi" w:cs="Times New Roman"/>
          <w:szCs w:val="24"/>
        </w:rPr>
      </w:pPr>
    </w:p>
    <w:p w:rsidR="00BA4DCF" w:rsidRDefault="00BA4DCF" w:rsidP="00475691">
      <w:pPr>
        <w:rPr>
          <w:rFonts w:asciiTheme="majorHAnsi" w:eastAsia="Times New Roman" w:hAnsiTheme="majorHAnsi" w:cs="Times New Roman"/>
          <w:szCs w:val="24"/>
        </w:rPr>
      </w:pPr>
    </w:p>
    <w:p w:rsidR="00E413D9" w:rsidRDefault="00E413D9" w:rsidP="00475691">
      <w:pPr>
        <w:rPr>
          <w:rFonts w:asciiTheme="majorHAnsi" w:eastAsia="Times New Roman" w:hAnsiTheme="majorHAnsi" w:cs="Times New Roman"/>
          <w:szCs w:val="24"/>
        </w:rPr>
      </w:pPr>
    </w:p>
    <w:p w:rsidR="00BA4DCF" w:rsidRDefault="00BA4DCF" w:rsidP="00475691">
      <w:pPr>
        <w:rPr>
          <w:rFonts w:asciiTheme="majorHAnsi" w:eastAsia="Times New Roman" w:hAnsiTheme="majorHAnsi" w:cs="Times New Roman"/>
          <w:szCs w:val="24"/>
        </w:rPr>
      </w:pPr>
    </w:p>
    <w:p w:rsidR="00BA4DCF" w:rsidRPr="00475691" w:rsidRDefault="00BA4DCF" w:rsidP="00475691">
      <w:pPr>
        <w:rPr>
          <w:rFonts w:asciiTheme="majorHAnsi" w:eastAsia="Times New Roman" w:hAnsiTheme="majorHAnsi" w:cs="Times New Roman"/>
          <w:szCs w:val="24"/>
        </w:rPr>
      </w:pPr>
    </w:p>
    <w:tbl>
      <w:tblPr>
        <w:tblStyle w:val="TableGrid"/>
        <w:tblW w:w="0" w:type="auto"/>
        <w:tblLook w:val="04A0" w:firstRow="1" w:lastRow="0" w:firstColumn="1" w:lastColumn="0" w:noHBand="0" w:noVBand="1"/>
      </w:tblPr>
      <w:tblGrid>
        <w:gridCol w:w="2059"/>
        <w:gridCol w:w="2059"/>
        <w:gridCol w:w="2059"/>
        <w:gridCol w:w="2059"/>
        <w:gridCol w:w="2060"/>
      </w:tblGrid>
      <w:tr w:rsidR="00BA4DCF" w:rsidRPr="00BA4DCF" w:rsidTr="00BA4DCF">
        <w:tc>
          <w:tcPr>
            <w:tcW w:w="2059" w:type="dxa"/>
          </w:tcPr>
          <w:p w:rsidR="00BA4DCF" w:rsidRPr="00BA4DCF" w:rsidRDefault="00BA4DCF" w:rsidP="00475691">
            <w:pPr>
              <w:rPr>
                <w:rFonts w:asciiTheme="majorHAnsi" w:eastAsia="Times New Roman" w:hAnsiTheme="majorHAnsi" w:cs="Times New Roman"/>
                <w:b/>
                <w:sz w:val="22"/>
              </w:rPr>
            </w:pPr>
          </w:p>
        </w:tc>
        <w:tc>
          <w:tcPr>
            <w:tcW w:w="2059" w:type="dxa"/>
          </w:tcPr>
          <w:p w:rsidR="00BA4DCF" w:rsidRPr="00BA4DCF" w:rsidRDefault="00A57909" w:rsidP="00BA4DCF">
            <w:pPr>
              <w:jc w:val="center"/>
              <w:rPr>
                <w:rFonts w:asciiTheme="majorHAnsi" w:eastAsia="Times New Roman" w:hAnsiTheme="majorHAnsi" w:cs="Times New Roman"/>
                <w:b/>
                <w:sz w:val="22"/>
              </w:rPr>
            </w:pPr>
            <w:r>
              <w:rPr>
                <w:rFonts w:asciiTheme="majorHAnsi" w:eastAsia="Times New Roman" w:hAnsiTheme="majorHAnsi" w:cs="Times New Roman"/>
                <w:b/>
                <w:sz w:val="22"/>
              </w:rPr>
              <w:t>Veteran</w:t>
            </w:r>
            <w:r w:rsidR="00BA4DCF" w:rsidRPr="00BA4DCF">
              <w:rPr>
                <w:rFonts w:asciiTheme="majorHAnsi" w:eastAsia="Times New Roman" w:hAnsiTheme="majorHAnsi" w:cs="Times New Roman"/>
                <w:b/>
                <w:sz w:val="22"/>
              </w:rPr>
              <w:t xml:space="preserve"> Population</w:t>
            </w:r>
          </w:p>
        </w:tc>
        <w:tc>
          <w:tcPr>
            <w:tcW w:w="2059" w:type="dxa"/>
          </w:tcPr>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C&amp;P</w:t>
            </w:r>
          </w:p>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Beneficiaries</w:t>
            </w:r>
          </w:p>
        </w:tc>
        <w:tc>
          <w:tcPr>
            <w:tcW w:w="2059" w:type="dxa"/>
          </w:tcPr>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C&amp;P</w:t>
            </w:r>
          </w:p>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Utilization Rates</w:t>
            </w:r>
          </w:p>
        </w:tc>
        <w:tc>
          <w:tcPr>
            <w:tcW w:w="2060" w:type="dxa"/>
          </w:tcPr>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C&amp;P</w:t>
            </w:r>
          </w:p>
          <w:p w:rsidR="00BA4DCF" w:rsidRPr="00BA4DCF" w:rsidRDefault="00BA4DCF" w:rsidP="00BA4DCF">
            <w:pPr>
              <w:jc w:val="center"/>
              <w:rPr>
                <w:rFonts w:asciiTheme="majorHAnsi" w:eastAsia="Times New Roman" w:hAnsiTheme="majorHAnsi" w:cs="Times New Roman"/>
                <w:b/>
                <w:sz w:val="22"/>
              </w:rPr>
            </w:pPr>
            <w:r w:rsidRPr="00BA4DCF">
              <w:rPr>
                <w:rFonts w:asciiTheme="majorHAnsi" w:eastAsia="Times New Roman" w:hAnsiTheme="majorHAnsi" w:cs="Times New Roman"/>
                <w:b/>
                <w:sz w:val="22"/>
              </w:rPr>
              <w:t>Dollars</w:t>
            </w:r>
          </w:p>
        </w:tc>
      </w:tr>
      <w:tr w:rsidR="00BA4DCF" w:rsidTr="00BA4DCF">
        <w:tc>
          <w:tcPr>
            <w:tcW w:w="2059" w:type="dxa"/>
          </w:tcPr>
          <w:p w:rsidR="00BA4DCF" w:rsidRPr="00BA4DCF" w:rsidRDefault="00BA4DCF" w:rsidP="00475691">
            <w:pPr>
              <w:rPr>
                <w:rFonts w:asciiTheme="majorHAnsi" w:eastAsia="Times New Roman" w:hAnsiTheme="majorHAnsi" w:cs="Times New Roman"/>
                <w:b/>
                <w:sz w:val="22"/>
              </w:rPr>
            </w:pPr>
            <w:r w:rsidRPr="00BA4DCF">
              <w:rPr>
                <w:rFonts w:asciiTheme="majorHAnsi" w:eastAsia="Times New Roman" w:hAnsiTheme="majorHAnsi" w:cs="Times New Roman"/>
                <w:b/>
                <w:sz w:val="22"/>
              </w:rPr>
              <w:t>California</w:t>
            </w:r>
          </w:p>
        </w:tc>
        <w:tc>
          <w:tcPr>
            <w:tcW w:w="2059" w:type="dxa"/>
          </w:tcPr>
          <w:p w:rsidR="00BA4DCF" w:rsidRPr="00E413D9" w:rsidRDefault="006D3997" w:rsidP="006D3997">
            <w:pPr>
              <w:pStyle w:val="Pa13"/>
              <w:tabs>
                <w:tab w:val="decimal" w:pos="1497"/>
              </w:tabs>
              <w:spacing w:after="180"/>
              <w:rPr>
                <w:rFonts w:cs="Helvetica 55 Roman"/>
                <w:color w:val="221E1F"/>
                <w:sz w:val="22"/>
              </w:rPr>
            </w:pPr>
            <w:r w:rsidRPr="00E413D9">
              <w:rPr>
                <w:rStyle w:val="A7"/>
              </w:rPr>
              <w:t>1,802,446</w:t>
            </w:r>
          </w:p>
        </w:tc>
        <w:tc>
          <w:tcPr>
            <w:tcW w:w="2059" w:type="dxa"/>
          </w:tcPr>
          <w:p w:rsidR="00BA4DCF" w:rsidRPr="00E413D9" w:rsidRDefault="006D3997" w:rsidP="006D3997">
            <w:pPr>
              <w:pStyle w:val="Pa13"/>
              <w:tabs>
                <w:tab w:val="decimal" w:pos="1282"/>
              </w:tabs>
              <w:spacing w:after="180"/>
              <w:rPr>
                <w:rFonts w:cs="Helvetica 55 Roman"/>
                <w:color w:val="221E1F"/>
                <w:sz w:val="22"/>
              </w:rPr>
            </w:pPr>
            <w:r w:rsidRPr="00E413D9">
              <w:rPr>
                <w:rStyle w:val="A7"/>
              </w:rPr>
              <w:t>392,381</w:t>
            </w:r>
          </w:p>
        </w:tc>
        <w:tc>
          <w:tcPr>
            <w:tcW w:w="2059" w:type="dxa"/>
          </w:tcPr>
          <w:p w:rsidR="00BA4DCF" w:rsidRPr="00E413D9" w:rsidRDefault="006D3997" w:rsidP="006D3997">
            <w:pPr>
              <w:pStyle w:val="Pa13"/>
              <w:tabs>
                <w:tab w:val="decimal" w:pos="933"/>
              </w:tabs>
              <w:spacing w:after="180"/>
              <w:rPr>
                <w:rFonts w:cs="Helvetica 55 Roman"/>
                <w:color w:val="221E1F"/>
                <w:sz w:val="22"/>
              </w:rPr>
            </w:pPr>
            <w:r w:rsidRPr="00E413D9">
              <w:rPr>
                <w:rFonts w:cs="Helvetica 55 Roman"/>
                <w:color w:val="221E1F"/>
                <w:sz w:val="22"/>
              </w:rPr>
              <w:t>21.8</w:t>
            </w:r>
            <w:r w:rsidR="00C3507D">
              <w:rPr>
                <w:rFonts w:cs="Helvetica 55 Roman"/>
                <w:color w:val="221E1F"/>
                <w:sz w:val="22"/>
              </w:rPr>
              <w:t>%</w:t>
            </w:r>
          </w:p>
        </w:tc>
        <w:tc>
          <w:tcPr>
            <w:tcW w:w="2060" w:type="dxa"/>
          </w:tcPr>
          <w:p w:rsidR="00BA4DCF" w:rsidRPr="00E413D9" w:rsidRDefault="006D3997" w:rsidP="006D3997">
            <w:pPr>
              <w:tabs>
                <w:tab w:val="decimal" w:pos="1497"/>
              </w:tabs>
              <w:rPr>
                <w:rFonts w:asciiTheme="minorHAnsi" w:eastAsia="Times New Roman" w:hAnsiTheme="minorHAnsi" w:cs="Times New Roman"/>
                <w:sz w:val="22"/>
              </w:rPr>
            </w:pPr>
            <w:r w:rsidRPr="00E413D9">
              <w:rPr>
                <w:rFonts w:asciiTheme="minorHAnsi" w:eastAsia="Times New Roman" w:hAnsiTheme="minorHAnsi" w:cs="Times New Roman"/>
                <w:sz w:val="22"/>
              </w:rPr>
              <w:t>$6,552,100,000</w:t>
            </w:r>
          </w:p>
        </w:tc>
      </w:tr>
      <w:tr w:rsidR="00BA4DCF" w:rsidTr="00BA4DCF">
        <w:tc>
          <w:tcPr>
            <w:tcW w:w="2059" w:type="dxa"/>
          </w:tcPr>
          <w:p w:rsidR="00BA4DCF" w:rsidRPr="00BA4DCF" w:rsidRDefault="00BA4DCF" w:rsidP="00475691">
            <w:pPr>
              <w:rPr>
                <w:rFonts w:asciiTheme="majorHAnsi" w:eastAsia="Times New Roman" w:hAnsiTheme="majorHAnsi" w:cs="Times New Roman"/>
                <w:b/>
                <w:sz w:val="22"/>
              </w:rPr>
            </w:pPr>
            <w:r w:rsidRPr="00BA4DCF">
              <w:rPr>
                <w:rFonts w:asciiTheme="majorHAnsi" w:eastAsia="Times New Roman" w:hAnsiTheme="majorHAnsi" w:cs="Times New Roman"/>
                <w:b/>
                <w:sz w:val="22"/>
              </w:rPr>
              <w:t>Florida</w:t>
            </w:r>
          </w:p>
        </w:tc>
        <w:tc>
          <w:tcPr>
            <w:tcW w:w="2059" w:type="dxa"/>
          </w:tcPr>
          <w:p w:rsidR="00BA4DCF" w:rsidRPr="00BA4DCF" w:rsidRDefault="006D3997" w:rsidP="006D3997">
            <w:pPr>
              <w:tabs>
                <w:tab w:val="decimal" w:pos="1497"/>
              </w:tabs>
              <w:rPr>
                <w:rFonts w:asciiTheme="minorHAnsi" w:eastAsia="Times New Roman" w:hAnsiTheme="minorHAnsi" w:cs="Times New Roman"/>
                <w:sz w:val="22"/>
              </w:rPr>
            </w:pPr>
            <w:r>
              <w:rPr>
                <w:rFonts w:asciiTheme="minorHAnsi" w:eastAsia="Times New Roman" w:hAnsiTheme="minorHAnsi" w:cs="Times New Roman"/>
                <w:sz w:val="22"/>
              </w:rPr>
              <w:t>1,558,141</w:t>
            </w:r>
          </w:p>
        </w:tc>
        <w:tc>
          <w:tcPr>
            <w:tcW w:w="2059" w:type="dxa"/>
          </w:tcPr>
          <w:p w:rsidR="00BA4DCF" w:rsidRPr="00BA4DCF" w:rsidRDefault="006D3997" w:rsidP="006D3997">
            <w:pPr>
              <w:tabs>
                <w:tab w:val="decimal" w:pos="1282"/>
              </w:tabs>
              <w:rPr>
                <w:rFonts w:asciiTheme="minorHAnsi" w:eastAsia="Times New Roman" w:hAnsiTheme="minorHAnsi" w:cs="Times New Roman"/>
                <w:sz w:val="22"/>
              </w:rPr>
            </w:pPr>
            <w:r>
              <w:rPr>
                <w:rFonts w:asciiTheme="minorHAnsi" w:eastAsia="Times New Roman" w:hAnsiTheme="minorHAnsi" w:cs="Times New Roman"/>
                <w:sz w:val="22"/>
              </w:rPr>
              <w:t>347,635</w:t>
            </w:r>
          </w:p>
        </w:tc>
        <w:tc>
          <w:tcPr>
            <w:tcW w:w="2059" w:type="dxa"/>
          </w:tcPr>
          <w:p w:rsidR="00BA4DCF" w:rsidRPr="00BA4DCF" w:rsidRDefault="006D3997" w:rsidP="006D3997">
            <w:pPr>
              <w:tabs>
                <w:tab w:val="decimal" w:pos="933"/>
              </w:tabs>
              <w:rPr>
                <w:rFonts w:asciiTheme="minorHAnsi" w:eastAsia="Times New Roman" w:hAnsiTheme="minorHAnsi" w:cs="Times New Roman"/>
                <w:sz w:val="22"/>
              </w:rPr>
            </w:pPr>
            <w:r>
              <w:rPr>
                <w:rFonts w:asciiTheme="minorHAnsi" w:eastAsia="Times New Roman" w:hAnsiTheme="minorHAnsi" w:cs="Times New Roman"/>
                <w:sz w:val="22"/>
              </w:rPr>
              <w:t>22.3</w:t>
            </w:r>
          </w:p>
        </w:tc>
        <w:tc>
          <w:tcPr>
            <w:tcW w:w="2060" w:type="dxa"/>
          </w:tcPr>
          <w:p w:rsidR="00BA4DCF" w:rsidRPr="00BA4DCF" w:rsidRDefault="006D3997" w:rsidP="006D3997">
            <w:pPr>
              <w:tabs>
                <w:tab w:val="decimal" w:pos="1497"/>
              </w:tabs>
              <w:rPr>
                <w:rFonts w:asciiTheme="minorHAnsi" w:eastAsia="Times New Roman" w:hAnsiTheme="minorHAnsi" w:cs="Times New Roman"/>
                <w:sz w:val="22"/>
              </w:rPr>
            </w:pPr>
            <w:r w:rsidRPr="006D3997">
              <w:rPr>
                <w:rFonts w:asciiTheme="minorHAnsi" w:eastAsia="Times New Roman" w:hAnsiTheme="minorHAnsi" w:cs="Times New Roman"/>
                <w:sz w:val="22"/>
              </w:rPr>
              <w:t>5,626,995,000</w:t>
            </w:r>
          </w:p>
        </w:tc>
      </w:tr>
      <w:tr w:rsidR="00BA4DCF" w:rsidTr="00BA4DCF">
        <w:tc>
          <w:tcPr>
            <w:tcW w:w="2059" w:type="dxa"/>
          </w:tcPr>
          <w:p w:rsidR="00BA4DCF" w:rsidRPr="00BA4DCF" w:rsidRDefault="00BA4DCF" w:rsidP="00475691">
            <w:pPr>
              <w:rPr>
                <w:rFonts w:asciiTheme="majorHAnsi" w:eastAsia="Times New Roman" w:hAnsiTheme="majorHAnsi" w:cs="Times New Roman"/>
                <w:b/>
                <w:sz w:val="22"/>
              </w:rPr>
            </w:pPr>
            <w:r w:rsidRPr="00BA4DCF">
              <w:rPr>
                <w:rFonts w:asciiTheme="majorHAnsi" w:eastAsia="Times New Roman" w:hAnsiTheme="majorHAnsi" w:cs="Times New Roman"/>
                <w:b/>
                <w:sz w:val="22"/>
              </w:rPr>
              <w:t>Texas</w:t>
            </w:r>
          </w:p>
        </w:tc>
        <w:tc>
          <w:tcPr>
            <w:tcW w:w="2059" w:type="dxa"/>
          </w:tcPr>
          <w:p w:rsidR="00BA4DCF" w:rsidRPr="00BA4DCF" w:rsidRDefault="006D3997" w:rsidP="006D3997">
            <w:pPr>
              <w:tabs>
                <w:tab w:val="decimal" w:pos="1497"/>
              </w:tabs>
              <w:rPr>
                <w:rFonts w:asciiTheme="minorHAnsi" w:eastAsia="Times New Roman" w:hAnsiTheme="minorHAnsi" w:cs="Times New Roman"/>
                <w:sz w:val="22"/>
              </w:rPr>
            </w:pPr>
            <w:r>
              <w:rPr>
                <w:rFonts w:asciiTheme="minorHAnsi" w:eastAsia="Times New Roman" w:hAnsiTheme="minorHAnsi" w:cs="Times New Roman"/>
                <w:sz w:val="22"/>
              </w:rPr>
              <w:t>1,675,262</w:t>
            </w:r>
          </w:p>
        </w:tc>
        <w:tc>
          <w:tcPr>
            <w:tcW w:w="2059" w:type="dxa"/>
          </w:tcPr>
          <w:p w:rsidR="00BA4DCF" w:rsidRPr="00BA4DCF" w:rsidRDefault="006D3997" w:rsidP="006D3997">
            <w:pPr>
              <w:tabs>
                <w:tab w:val="decimal" w:pos="1282"/>
              </w:tabs>
              <w:rPr>
                <w:rFonts w:asciiTheme="minorHAnsi" w:eastAsia="Times New Roman" w:hAnsiTheme="minorHAnsi" w:cs="Times New Roman"/>
                <w:sz w:val="22"/>
              </w:rPr>
            </w:pPr>
            <w:r>
              <w:rPr>
                <w:rFonts w:asciiTheme="minorHAnsi" w:eastAsia="Times New Roman" w:hAnsiTheme="minorHAnsi" w:cs="Times New Roman"/>
                <w:sz w:val="22"/>
              </w:rPr>
              <w:t>415,248</w:t>
            </w:r>
          </w:p>
        </w:tc>
        <w:tc>
          <w:tcPr>
            <w:tcW w:w="2059" w:type="dxa"/>
          </w:tcPr>
          <w:p w:rsidR="00BA4DCF" w:rsidRPr="00BA4DCF" w:rsidRDefault="006D3997" w:rsidP="006D3997">
            <w:pPr>
              <w:tabs>
                <w:tab w:val="decimal" w:pos="933"/>
              </w:tabs>
              <w:rPr>
                <w:rFonts w:asciiTheme="minorHAnsi" w:eastAsia="Times New Roman" w:hAnsiTheme="minorHAnsi" w:cs="Times New Roman"/>
                <w:sz w:val="22"/>
              </w:rPr>
            </w:pPr>
            <w:r>
              <w:rPr>
                <w:rFonts w:asciiTheme="minorHAnsi" w:eastAsia="Times New Roman" w:hAnsiTheme="minorHAnsi" w:cs="Times New Roman"/>
                <w:sz w:val="22"/>
              </w:rPr>
              <w:t>24.8</w:t>
            </w:r>
          </w:p>
        </w:tc>
        <w:tc>
          <w:tcPr>
            <w:tcW w:w="2060" w:type="dxa"/>
          </w:tcPr>
          <w:p w:rsidR="00BA4DCF" w:rsidRPr="00BA4DCF" w:rsidRDefault="006D3997" w:rsidP="006D3997">
            <w:pPr>
              <w:tabs>
                <w:tab w:val="decimal" w:pos="1497"/>
              </w:tabs>
              <w:rPr>
                <w:rFonts w:asciiTheme="minorHAnsi" w:eastAsia="Times New Roman" w:hAnsiTheme="minorHAnsi" w:cs="Times New Roman"/>
                <w:sz w:val="22"/>
              </w:rPr>
            </w:pPr>
            <w:r w:rsidRPr="006D3997">
              <w:rPr>
                <w:rFonts w:asciiTheme="minorHAnsi" w:eastAsia="Times New Roman" w:hAnsiTheme="minorHAnsi" w:cs="Times New Roman"/>
                <w:sz w:val="22"/>
              </w:rPr>
              <w:t>7,447,453,600</w:t>
            </w:r>
          </w:p>
        </w:tc>
      </w:tr>
      <w:tr w:rsidR="00BA4DCF" w:rsidTr="00BA4DCF">
        <w:tc>
          <w:tcPr>
            <w:tcW w:w="2059" w:type="dxa"/>
          </w:tcPr>
          <w:p w:rsidR="00BA4DCF" w:rsidRPr="00BA4DCF" w:rsidRDefault="00BA4DCF" w:rsidP="00475691">
            <w:pPr>
              <w:rPr>
                <w:rFonts w:asciiTheme="majorHAnsi" w:eastAsia="Times New Roman" w:hAnsiTheme="majorHAnsi" w:cs="Times New Roman"/>
                <w:b/>
                <w:sz w:val="22"/>
              </w:rPr>
            </w:pPr>
            <w:r w:rsidRPr="00BA4DCF">
              <w:rPr>
                <w:rFonts w:asciiTheme="majorHAnsi" w:eastAsia="Times New Roman" w:hAnsiTheme="majorHAnsi" w:cs="Times New Roman"/>
                <w:b/>
                <w:sz w:val="22"/>
              </w:rPr>
              <w:t>Nationwide</w:t>
            </w:r>
          </w:p>
        </w:tc>
        <w:tc>
          <w:tcPr>
            <w:tcW w:w="2059" w:type="dxa"/>
          </w:tcPr>
          <w:p w:rsidR="00BA4DCF" w:rsidRPr="00BA4DCF" w:rsidRDefault="006D3997" w:rsidP="006D3997">
            <w:pPr>
              <w:tabs>
                <w:tab w:val="decimal" w:pos="1497"/>
              </w:tabs>
              <w:rPr>
                <w:rFonts w:asciiTheme="minorHAnsi" w:eastAsia="Times New Roman" w:hAnsiTheme="minorHAnsi" w:cs="Times New Roman"/>
                <w:sz w:val="22"/>
              </w:rPr>
            </w:pPr>
            <w:r>
              <w:rPr>
                <w:rFonts w:asciiTheme="minorHAnsi" w:eastAsia="Times New Roman" w:hAnsiTheme="minorHAnsi" w:cs="Times New Roman"/>
                <w:sz w:val="22"/>
              </w:rPr>
              <w:t>21,680,534</w:t>
            </w:r>
          </w:p>
        </w:tc>
        <w:tc>
          <w:tcPr>
            <w:tcW w:w="2059" w:type="dxa"/>
          </w:tcPr>
          <w:p w:rsidR="00BA4DCF" w:rsidRPr="00BA4DCF" w:rsidRDefault="006D3997" w:rsidP="006D3997">
            <w:pPr>
              <w:tabs>
                <w:tab w:val="decimal" w:pos="1282"/>
              </w:tabs>
              <w:rPr>
                <w:rFonts w:asciiTheme="minorHAnsi" w:eastAsia="Times New Roman" w:hAnsiTheme="minorHAnsi" w:cs="Times New Roman"/>
                <w:sz w:val="22"/>
              </w:rPr>
            </w:pPr>
            <w:r>
              <w:rPr>
                <w:rFonts w:asciiTheme="minorHAnsi" w:eastAsia="Times New Roman" w:hAnsiTheme="minorHAnsi" w:cs="Times New Roman"/>
                <w:sz w:val="22"/>
              </w:rPr>
              <w:t>4,512,369</w:t>
            </w:r>
          </w:p>
        </w:tc>
        <w:tc>
          <w:tcPr>
            <w:tcW w:w="2059" w:type="dxa"/>
          </w:tcPr>
          <w:p w:rsidR="006D3997" w:rsidRPr="00BA4DCF" w:rsidRDefault="006D3997" w:rsidP="006D3997">
            <w:pPr>
              <w:tabs>
                <w:tab w:val="decimal" w:pos="-8337"/>
                <w:tab w:val="decimal" w:pos="-8247"/>
                <w:tab w:val="decimal" w:pos="933"/>
              </w:tabs>
              <w:jc w:val="center"/>
              <w:rPr>
                <w:rFonts w:asciiTheme="minorHAnsi" w:eastAsia="Times New Roman" w:hAnsiTheme="minorHAnsi" w:cs="Times New Roman"/>
                <w:sz w:val="22"/>
              </w:rPr>
            </w:pPr>
            <w:r>
              <w:rPr>
                <w:rFonts w:asciiTheme="minorHAnsi" w:eastAsia="Times New Roman" w:hAnsiTheme="minorHAnsi" w:cs="Times New Roman"/>
                <w:sz w:val="22"/>
              </w:rPr>
              <w:t>20.8</w:t>
            </w:r>
          </w:p>
        </w:tc>
        <w:tc>
          <w:tcPr>
            <w:tcW w:w="2060" w:type="dxa"/>
          </w:tcPr>
          <w:p w:rsidR="00BA4DCF" w:rsidRPr="00BA4DCF" w:rsidRDefault="00E413D9" w:rsidP="006D3997">
            <w:pPr>
              <w:tabs>
                <w:tab w:val="decimal" w:pos="1497"/>
              </w:tabs>
              <w:rPr>
                <w:rFonts w:asciiTheme="minorHAnsi" w:eastAsia="Times New Roman" w:hAnsiTheme="minorHAnsi" w:cs="Times New Roman"/>
                <w:sz w:val="22"/>
              </w:rPr>
            </w:pPr>
            <w:r w:rsidRPr="00E413D9">
              <w:rPr>
                <w:rFonts w:asciiTheme="minorHAnsi" w:eastAsia="Times New Roman" w:hAnsiTheme="minorHAnsi" w:cs="Times New Roman"/>
                <w:sz w:val="22"/>
              </w:rPr>
              <w:t>75,787,356,200</w:t>
            </w:r>
          </w:p>
        </w:tc>
      </w:tr>
    </w:tbl>
    <w:p w:rsidR="00475691" w:rsidRPr="00475691" w:rsidRDefault="00475691" w:rsidP="00475691">
      <w:pPr>
        <w:rPr>
          <w:rFonts w:asciiTheme="majorHAnsi" w:eastAsia="Times New Roman" w:hAnsiTheme="majorHAnsi" w:cs="Times New Roman"/>
          <w:szCs w:val="24"/>
        </w:rPr>
      </w:pPr>
    </w:p>
    <w:p w:rsidR="00BA4DCF" w:rsidRDefault="00BA4DCF"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2013 budget contained $3 million for a "strike force" concept to place state employees in the USDVA Regional Offices to assist in reducing the disability claims backlog. As of November 27, 2014, the Strike Teams in the District Offices reviewed over 38,480 claims since September 2013, with 31 out of 36 positions filled; $35M in lump sum payments (retroactive payments based on the time the claim has been at the USDVA) and monthly award payments totaling $4.4M have been awarded. Annualized, that means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will be receiving over $53M every year for the rest of their lives. The award amounts are based on only those which have been reviewed by the Strike Teams and Adjudicated/Rated by the USDVA by November 27, 2014; consider that only a small percentage of the 38,480 claims reviewed have been rated.</w:t>
      </w:r>
    </w:p>
    <w:p w:rsidR="00475691" w:rsidRPr="00475691" w:rsidRDefault="00475691" w:rsidP="00475691">
      <w:pPr>
        <w:rPr>
          <w:rFonts w:asciiTheme="majorHAnsi" w:eastAsia="Times New Roman" w:hAnsiTheme="majorHAnsi" w:cs="Times New Roman"/>
          <w:szCs w:val="24"/>
        </w:rPr>
      </w:pPr>
    </w:p>
    <w:p w:rsid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Strike Teams have not only significantly contributed to reducing the claims backlog, but the CalVet/USDVA teams have also developed a proven method of expediting emergency claims through our strike teams. In late August, the Tulare County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Service Office submitted a fully developed claim to the CalVet Oakland District Office for 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 with terminal illness. The CalVet Strike Team uploaded the claim immediately and submitted it to the Oakland Regional Office team, who was able to review and forward it to be rated in one step. This resulted in a same-day rating decision and promulgation for the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w:t>
      </w:r>
    </w:p>
    <w:p w:rsidR="00BA4DCF" w:rsidRPr="00475691" w:rsidRDefault="00BA4DCF" w:rsidP="00475691">
      <w:pPr>
        <w:rPr>
          <w:rFonts w:asciiTheme="majorHAnsi" w:eastAsia="Times New Roman" w:hAnsiTheme="majorHAnsi" w:cs="Times New Roman"/>
          <w:szCs w:val="24"/>
        </w:rPr>
      </w:pPr>
    </w:p>
    <w:p w:rsidR="00017930" w:rsidRDefault="00017930">
      <w:pPr>
        <w:rPr>
          <w:rFonts w:asciiTheme="majorHAnsi" w:eastAsia="Times New Roman" w:hAnsiTheme="majorHAnsi" w:cs="Times New Roman"/>
          <w:szCs w:val="24"/>
        </w:rPr>
      </w:pPr>
      <w:r>
        <w:rPr>
          <w:rFonts w:asciiTheme="majorHAnsi" w:eastAsia="Times New Roman" w:hAnsiTheme="majorHAnsi" w:cs="Times New Roman"/>
          <w:szCs w:val="24"/>
        </w:rPr>
        <w:br w:type="page"/>
      </w:r>
    </w:p>
    <w:p w:rsidR="00466D96" w:rsidRPr="00475691" w:rsidRDefault="00466D96" w:rsidP="00466D96">
      <w:pPr>
        <w:rPr>
          <w:rFonts w:asciiTheme="majorHAnsi" w:eastAsia="Times New Roman" w:hAnsiTheme="majorHAnsi" w:cs="Times New Roman"/>
          <w:b/>
          <w:szCs w:val="24"/>
        </w:rPr>
      </w:pPr>
      <w:r>
        <w:rPr>
          <w:rFonts w:asciiTheme="majorHAnsi" w:eastAsia="Times New Roman" w:hAnsiTheme="majorHAnsi" w:cs="Times New Roman"/>
          <w:b/>
          <w:szCs w:val="24"/>
        </w:rPr>
        <w:lastRenderedPageBreak/>
        <w:t>California State Approving Authority for Secondary Education</w:t>
      </w:r>
    </w:p>
    <w:p w:rsidR="00466D96" w:rsidRDefault="00466D96">
      <w:pPr>
        <w:rPr>
          <w:rFonts w:asciiTheme="majorHAnsi" w:eastAsia="Times New Roman" w:hAnsiTheme="majorHAnsi" w:cs="Times New Roman"/>
          <w:szCs w:val="24"/>
        </w:rPr>
      </w:pPr>
    </w:p>
    <w:p w:rsidR="00466D96" w:rsidRDefault="00466D96">
      <w:pPr>
        <w:rPr>
          <w:rFonts w:asciiTheme="majorHAnsi" w:eastAsia="Times New Roman" w:hAnsiTheme="majorHAnsi" w:cs="Times New Roman"/>
          <w:szCs w:val="24"/>
        </w:rPr>
      </w:pPr>
      <w:r w:rsidRPr="00466D96">
        <w:rPr>
          <w:rFonts w:asciiTheme="majorHAnsi" w:eastAsia="Times New Roman" w:hAnsiTheme="majorHAnsi" w:cs="Times New Roman"/>
          <w:szCs w:val="24"/>
        </w:rPr>
        <w:t xml:space="preserve">The California State Approving Agency for Veterans Education (CSAAVE) is </w:t>
      </w:r>
      <w:r>
        <w:rPr>
          <w:rFonts w:asciiTheme="majorHAnsi" w:eastAsia="Times New Roman" w:hAnsiTheme="majorHAnsi" w:cs="Times New Roman"/>
          <w:szCs w:val="24"/>
        </w:rPr>
        <w:t xml:space="preserve">a subsidiary of CalVet, which </w:t>
      </w:r>
      <w:r w:rsidRPr="00466D96">
        <w:rPr>
          <w:rFonts w:asciiTheme="majorHAnsi" w:eastAsia="Times New Roman" w:hAnsiTheme="majorHAnsi" w:cs="Times New Roman"/>
          <w:szCs w:val="24"/>
        </w:rPr>
        <w:t xml:space="preserve">operates under the authority of the </w:t>
      </w:r>
      <w:r>
        <w:rPr>
          <w:rFonts w:asciiTheme="majorHAnsi" w:eastAsia="Times New Roman" w:hAnsiTheme="majorHAnsi" w:cs="Times New Roman"/>
          <w:szCs w:val="24"/>
        </w:rPr>
        <w:t xml:space="preserve">USDVA. </w:t>
      </w:r>
      <w:r w:rsidRPr="00466D96">
        <w:rPr>
          <w:rFonts w:asciiTheme="majorHAnsi" w:eastAsia="Times New Roman" w:hAnsiTheme="majorHAnsi" w:cs="Times New Roman"/>
          <w:szCs w:val="24"/>
        </w:rPr>
        <w:t>CSAAVE is responsible for the oversight and approval of California institutions offering education programs, apprenticeship and on-the-job training, and li</w:t>
      </w:r>
      <w:r>
        <w:rPr>
          <w:rFonts w:asciiTheme="majorHAnsi" w:eastAsia="Times New Roman" w:hAnsiTheme="majorHAnsi" w:cs="Times New Roman"/>
          <w:szCs w:val="24"/>
        </w:rPr>
        <w:t>cense and certification exams.</w:t>
      </w:r>
    </w:p>
    <w:p w:rsidR="00466D96" w:rsidRDefault="00466D96">
      <w:pPr>
        <w:rPr>
          <w:rFonts w:asciiTheme="majorHAnsi" w:eastAsia="Times New Roman" w:hAnsiTheme="majorHAnsi" w:cs="Times New Roman"/>
          <w:szCs w:val="24"/>
        </w:rPr>
      </w:pPr>
    </w:p>
    <w:p w:rsidR="00466D96" w:rsidRDefault="00466D96">
      <w:pPr>
        <w:rPr>
          <w:rFonts w:asciiTheme="majorHAnsi" w:eastAsia="Times New Roman" w:hAnsiTheme="majorHAnsi" w:cs="Times New Roman"/>
          <w:szCs w:val="24"/>
        </w:rPr>
      </w:pPr>
      <w:r w:rsidRPr="00466D96">
        <w:rPr>
          <w:rFonts w:asciiTheme="majorHAnsi" w:eastAsia="Times New Roman" w:hAnsiTheme="majorHAnsi" w:cs="Times New Roman"/>
          <w:szCs w:val="24"/>
        </w:rPr>
        <w:t xml:space="preserve">Institutions that </w:t>
      </w:r>
      <w:r>
        <w:rPr>
          <w:rFonts w:asciiTheme="majorHAnsi" w:eastAsia="Times New Roman" w:hAnsiTheme="majorHAnsi" w:cs="Times New Roman"/>
          <w:szCs w:val="24"/>
        </w:rPr>
        <w:t>elect to participate in federal GI Bill</w:t>
      </w:r>
      <w:r w:rsidRPr="00466D96">
        <w:rPr>
          <w:rFonts w:asciiTheme="majorHAnsi" w:eastAsia="Times New Roman" w:hAnsiTheme="majorHAnsi" w:cs="Times New Roman"/>
          <w:szCs w:val="24"/>
        </w:rPr>
        <w:t xml:space="preserve"> education and training must comply with the Code of Federal Regulations, as well as all federal, state and local laws.</w:t>
      </w:r>
      <w:r>
        <w:rPr>
          <w:rFonts w:asciiTheme="majorHAnsi" w:eastAsia="Times New Roman" w:hAnsiTheme="majorHAnsi" w:cs="Times New Roman"/>
          <w:szCs w:val="24"/>
        </w:rPr>
        <w:t xml:space="preserve"> </w:t>
      </w:r>
      <w:r w:rsidRPr="00466D96">
        <w:rPr>
          <w:rFonts w:asciiTheme="majorHAnsi" w:eastAsia="Times New Roman" w:hAnsiTheme="majorHAnsi" w:cs="Times New Roman"/>
          <w:szCs w:val="24"/>
        </w:rPr>
        <w:t xml:space="preserve">CSAAVE is tasked with ensuring that your </w:t>
      </w:r>
      <w:r>
        <w:rPr>
          <w:rFonts w:asciiTheme="majorHAnsi" w:eastAsia="Times New Roman" w:hAnsiTheme="majorHAnsi" w:cs="Times New Roman"/>
          <w:szCs w:val="24"/>
        </w:rPr>
        <w:t xml:space="preserve">earned benefits are protected. </w:t>
      </w:r>
      <w:r w:rsidRPr="00466D96">
        <w:rPr>
          <w:rFonts w:asciiTheme="majorHAnsi" w:eastAsia="Times New Roman" w:hAnsiTheme="majorHAnsi" w:cs="Times New Roman"/>
          <w:szCs w:val="24"/>
        </w:rPr>
        <w:t xml:space="preserve">The CSAAVE mission is to protect the GI Bill by preventing waste, fraud and abuse of GI Bill money, by promoting quality education through evaluating and monitoring education and training programs offered in California. CSAAVE is also charged with making sure that GI Bill benefits remain available </w:t>
      </w:r>
      <w:r>
        <w:rPr>
          <w:rFonts w:asciiTheme="majorHAnsi" w:eastAsia="Times New Roman" w:hAnsiTheme="majorHAnsi" w:cs="Times New Roman"/>
          <w:szCs w:val="24"/>
        </w:rPr>
        <w:t xml:space="preserve">to you and all future </w:t>
      </w:r>
      <w:r w:rsidR="00A57909">
        <w:rPr>
          <w:rFonts w:asciiTheme="majorHAnsi" w:eastAsia="Times New Roman" w:hAnsiTheme="majorHAnsi" w:cs="Times New Roman"/>
          <w:szCs w:val="24"/>
        </w:rPr>
        <w:t>Veteran</w:t>
      </w:r>
      <w:r>
        <w:rPr>
          <w:rFonts w:asciiTheme="majorHAnsi" w:eastAsia="Times New Roman" w:hAnsiTheme="majorHAnsi" w:cs="Times New Roman"/>
          <w:szCs w:val="24"/>
        </w:rPr>
        <w:t>s.</w:t>
      </w:r>
    </w:p>
    <w:p w:rsidR="00466D96" w:rsidRDefault="00466D96">
      <w:pPr>
        <w:rPr>
          <w:rFonts w:asciiTheme="majorHAnsi" w:eastAsia="Times New Roman" w:hAnsiTheme="majorHAnsi" w:cs="Times New Roman"/>
          <w:szCs w:val="24"/>
        </w:rPr>
      </w:pPr>
    </w:p>
    <w:p w:rsidR="00466D96" w:rsidRPr="00466D96" w:rsidRDefault="00466D96" w:rsidP="00466D96">
      <w:p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 xml:space="preserve">The primary function of CSAAVE is to review, evaluate, and approve quality educational and training programs for </w:t>
      </w:r>
      <w:r w:rsidR="00A57909">
        <w:rPr>
          <w:rFonts w:asciiTheme="majorHAnsi" w:eastAsia="Times New Roman" w:hAnsiTheme="majorHAnsi" w:cs="Times New Roman"/>
          <w:szCs w:val="24"/>
        </w:rPr>
        <w:t>Veteran</w:t>
      </w:r>
      <w:r w:rsidRPr="00466D96">
        <w:rPr>
          <w:rFonts w:asciiTheme="majorHAnsi" w:eastAsia="Times New Roman" w:hAnsiTheme="majorHAnsi" w:cs="Times New Roman"/>
          <w:szCs w:val="24"/>
        </w:rPr>
        <w:t>'s benefits.  Under the provisions of Chapters 30, 32, 33, and 35 of Title 38, United States Code, Chapter 1606 of Title 10, United States Code, and Chapter 1607 of Title 10, United State Code CSAAVE approves programs offered by the following types of schools and training establishments: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Colleges and Universities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Vocational Schools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Business Schools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Professional Schools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 xml:space="preserve">Licensing and Certification Tests (If required for </w:t>
      </w:r>
      <w:r>
        <w:rPr>
          <w:rFonts w:asciiTheme="majorHAnsi" w:eastAsia="Times New Roman" w:hAnsiTheme="majorHAnsi" w:cs="Times New Roman"/>
          <w:szCs w:val="24"/>
        </w:rPr>
        <w:t>occupational certification or licensure</w:t>
      </w:r>
      <w:r w:rsidRPr="00466D96">
        <w:rPr>
          <w:rFonts w:asciiTheme="majorHAnsi" w:eastAsia="Times New Roman" w:hAnsiTheme="majorHAnsi" w:cs="Times New Roman"/>
          <w:szCs w:val="24"/>
        </w:rPr>
        <w:t>.</w:t>
      </w:r>
      <w:r>
        <w:rPr>
          <w:rFonts w:asciiTheme="majorHAnsi" w:eastAsia="Times New Roman" w:hAnsiTheme="majorHAnsi" w:cs="Times New Roman"/>
          <w:szCs w:val="24"/>
        </w:rPr>
        <w:t>)</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lang w:val="en"/>
        </w:rPr>
        <w:t>Apprenticeships</w:t>
      </w:r>
    </w:p>
    <w:p w:rsidR="00466D96" w:rsidRPr="00466D96" w:rsidRDefault="00466D96" w:rsidP="00466D96">
      <w:pPr>
        <w:numPr>
          <w:ilvl w:val="0"/>
          <w:numId w:val="15"/>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rPr>
        <w:t>On-the-Job Training (OJT)</w:t>
      </w:r>
    </w:p>
    <w:p w:rsidR="00466D96" w:rsidRPr="00466D96" w:rsidRDefault="00466D96" w:rsidP="00466D96">
      <w:pPr>
        <w:numPr>
          <w:ilvl w:val="0"/>
          <w:numId w:val="15"/>
        </w:numPr>
        <w:rPr>
          <w:rFonts w:asciiTheme="majorHAnsi" w:eastAsia="Times New Roman" w:hAnsiTheme="majorHAnsi" w:cs="Times New Roman"/>
          <w:szCs w:val="24"/>
        </w:rPr>
      </w:pPr>
      <w:r w:rsidRPr="00466D96">
        <w:rPr>
          <w:rFonts w:asciiTheme="majorHAnsi" w:eastAsia="Times New Roman" w:hAnsiTheme="majorHAnsi" w:cs="Times New Roman"/>
          <w:szCs w:val="24"/>
        </w:rPr>
        <w:t>Flight Schools</w:t>
      </w:r>
    </w:p>
    <w:p w:rsidR="00466D96" w:rsidRDefault="00466D96" w:rsidP="00466D96">
      <w:pPr>
        <w:rPr>
          <w:rFonts w:asciiTheme="majorHAnsi" w:eastAsia="Times New Roman" w:hAnsiTheme="majorHAnsi" w:cs="Times New Roman"/>
          <w:szCs w:val="24"/>
        </w:rPr>
      </w:pPr>
    </w:p>
    <w:p w:rsidR="00466D96" w:rsidRPr="00466D96" w:rsidRDefault="00466D96" w:rsidP="00466D96">
      <w:pPr>
        <w:rPr>
          <w:rFonts w:asciiTheme="majorHAnsi" w:eastAsia="Times New Roman" w:hAnsiTheme="majorHAnsi" w:cs="Times New Roman"/>
          <w:szCs w:val="24"/>
        </w:rPr>
      </w:pPr>
      <w:r w:rsidRPr="00466D96">
        <w:rPr>
          <w:rFonts w:asciiTheme="majorHAnsi" w:eastAsia="Times New Roman" w:hAnsiTheme="majorHAnsi" w:cs="Times New Roman"/>
          <w:szCs w:val="24"/>
        </w:rPr>
        <w:t>Educational training programs must lead to a degree or vocational objective, in order to qualify for approval.  Programs solely for the purpose of upward mobility, continuing education or courses such as bartending, personal development, avocational or recreational in character are specifically pr</w:t>
      </w:r>
      <w:r>
        <w:rPr>
          <w:rFonts w:asciiTheme="majorHAnsi" w:eastAsia="Times New Roman" w:hAnsiTheme="majorHAnsi" w:cs="Times New Roman"/>
          <w:szCs w:val="24"/>
        </w:rPr>
        <w:t>ohibited from approval by law. </w:t>
      </w:r>
      <w:r w:rsidRPr="00466D96">
        <w:rPr>
          <w:rFonts w:asciiTheme="majorHAnsi" w:eastAsia="Times New Roman" w:hAnsiTheme="majorHAnsi" w:cs="Times New Roman"/>
          <w:szCs w:val="24"/>
        </w:rPr>
        <w:t xml:space="preserve">CSAAVE approval is required for each program or course of education into which a school wishes to enroll </w:t>
      </w:r>
      <w:r w:rsidR="00A57909">
        <w:rPr>
          <w:rFonts w:asciiTheme="majorHAnsi" w:eastAsia="Times New Roman" w:hAnsiTheme="majorHAnsi" w:cs="Times New Roman"/>
          <w:szCs w:val="24"/>
        </w:rPr>
        <w:t>Veteran</w:t>
      </w:r>
      <w:r w:rsidRPr="00466D96">
        <w:rPr>
          <w:rFonts w:asciiTheme="majorHAnsi" w:eastAsia="Times New Roman" w:hAnsiTheme="majorHAnsi" w:cs="Times New Roman"/>
          <w:szCs w:val="24"/>
        </w:rPr>
        <w:t>s and other eligible persons.  If a school operates a branch or extension facility, sites must be approved separately.</w:t>
      </w:r>
    </w:p>
    <w:p w:rsidR="00466D96" w:rsidRPr="00466D96" w:rsidRDefault="00466D96" w:rsidP="00466D96">
      <w:pPr>
        <w:spacing w:after="120"/>
        <w:rPr>
          <w:rFonts w:asciiTheme="majorHAnsi" w:eastAsia="Times New Roman" w:hAnsiTheme="majorHAnsi" w:cs="Times New Roman"/>
          <w:szCs w:val="24"/>
        </w:rPr>
      </w:pPr>
      <w:r w:rsidRPr="00466D96">
        <w:rPr>
          <w:rFonts w:asciiTheme="majorHAnsi" w:eastAsia="Times New Roman" w:hAnsiTheme="majorHAnsi" w:cs="Times New Roman"/>
          <w:szCs w:val="24"/>
        </w:rPr>
        <w:t>CSAAVE does </w:t>
      </w:r>
      <w:r w:rsidRPr="00466D96">
        <w:rPr>
          <w:rFonts w:asciiTheme="majorHAnsi" w:eastAsia="Times New Roman" w:hAnsiTheme="majorHAnsi" w:cs="Times New Roman"/>
          <w:szCs w:val="24"/>
          <w:lang w:val="en"/>
        </w:rPr>
        <w:t>not</w:t>
      </w:r>
      <w:r w:rsidRPr="00466D96">
        <w:rPr>
          <w:rFonts w:asciiTheme="majorHAnsi" w:eastAsia="Times New Roman" w:hAnsiTheme="majorHAnsi" w:cs="Times New Roman"/>
          <w:szCs w:val="24"/>
        </w:rPr>
        <w:t> approve the following education or training programs:</w:t>
      </w:r>
    </w:p>
    <w:p w:rsidR="00466D96" w:rsidRPr="00466D96" w:rsidRDefault="00466D96" w:rsidP="00466D96">
      <w:pPr>
        <w:numPr>
          <w:ilvl w:val="0"/>
          <w:numId w:val="16"/>
        </w:numPr>
        <w:spacing w:after="80"/>
        <w:rPr>
          <w:rFonts w:asciiTheme="majorHAnsi" w:eastAsia="Times New Roman" w:hAnsiTheme="majorHAnsi" w:cs="Times New Roman"/>
          <w:szCs w:val="24"/>
        </w:rPr>
      </w:pPr>
      <w:r w:rsidRPr="00466D96">
        <w:rPr>
          <w:rFonts w:asciiTheme="majorHAnsi" w:eastAsia="Times New Roman" w:hAnsiTheme="majorHAnsi" w:cs="Times New Roman"/>
          <w:szCs w:val="24"/>
          <w:lang w:val="en"/>
        </w:rPr>
        <w:t>Vocational Rehabilitation</w:t>
      </w:r>
      <w:r w:rsidRPr="00466D96">
        <w:rPr>
          <w:rFonts w:asciiTheme="majorHAnsi" w:eastAsia="Times New Roman" w:hAnsiTheme="majorHAnsi" w:cs="Times New Roman"/>
          <w:szCs w:val="24"/>
        </w:rPr>
        <w:t> (Approved directly by the USDVA)</w:t>
      </w:r>
    </w:p>
    <w:p w:rsidR="00466D96" w:rsidRPr="00466D96" w:rsidRDefault="00466D96" w:rsidP="00466D96">
      <w:pPr>
        <w:numPr>
          <w:ilvl w:val="0"/>
          <w:numId w:val="16"/>
        </w:numPr>
        <w:rPr>
          <w:rFonts w:asciiTheme="majorHAnsi" w:eastAsia="Times New Roman" w:hAnsiTheme="majorHAnsi" w:cs="Times New Roman"/>
          <w:szCs w:val="24"/>
        </w:rPr>
      </w:pPr>
      <w:r w:rsidRPr="00466D96">
        <w:rPr>
          <w:rFonts w:asciiTheme="majorHAnsi" w:eastAsia="Times New Roman" w:hAnsiTheme="majorHAnsi" w:cs="Times New Roman"/>
          <w:szCs w:val="24"/>
        </w:rPr>
        <w:t>Unaccredited institutions or programs not approved or exempt by the </w:t>
      </w:r>
      <w:r w:rsidRPr="00466D96">
        <w:rPr>
          <w:rFonts w:asciiTheme="majorHAnsi" w:eastAsia="Times New Roman" w:hAnsiTheme="majorHAnsi" w:cs="Times New Roman"/>
          <w:szCs w:val="24"/>
          <w:lang w:val="en"/>
        </w:rPr>
        <w:t>Bureau for Private Postsecondary Education</w:t>
      </w:r>
    </w:p>
    <w:p w:rsidR="00466D96" w:rsidRDefault="00466D96">
      <w:pPr>
        <w:rPr>
          <w:rFonts w:asciiTheme="majorHAnsi" w:eastAsia="Times New Roman" w:hAnsiTheme="majorHAnsi" w:cs="Times New Roman"/>
          <w:szCs w:val="24"/>
        </w:rPr>
      </w:pPr>
    </w:p>
    <w:p w:rsidR="00466D96" w:rsidRDefault="00466D96">
      <w:pPr>
        <w:rPr>
          <w:rFonts w:asciiTheme="majorHAnsi" w:eastAsia="Times New Roman" w:hAnsiTheme="majorHAnsi" w:cs="Times New Roman"/>
          <w:szCs w:val="24"/>
        </w:rPr>
      </w:pPr>
    </w:p>
    <w:p w:rsidR="00816EDE" w:rsidRDefault="00466D96">
      <w:pPr>
        <w:rPr>
          <w:rFonts w:asciiTheme="majorHAnsi" w:eastAsia="Times New Roman" w:hAnsiTheme="majorHAnsi" w:cs="Times New Roman"/>
          <w:szCs w:val="24"/>
        </w:rPr>
      </w:pPr>
      <w:r>
        <w:rPr>
          <w:rFonts w:asciiTheme="majorHAnsi" w:eastAsia="Times New Roman" w:hAnsiTheme="majorHAnsi" w:cs="Times New Roman"/>
          <w:szCs w:val="24"/>
        </w:rPr>
        <w:br w:type="page"/>
      </w:r>
      <w:r>
        <w:rPr>
          <w:rFonts w:asciiTheme="majorHAnsi" w:eastAsia="Times New Roman" w:hAnsiTheme="majorHAnsi" w:cs="Times New Roman"/>
          <w:szCs w:val="24"/>
        </w:rPr>
        <w:lastRenderedPageBreak/>
        <w:t xml:space="preserve">  </w:t>
      </w:r>
    </w:p>
    <w:p w:rsidR="00816EDE" w:rsidRPr="00475691" w:rsidRDefault="00816EDE" w:rsidP="00816EDE">
      <w:pPr>
        <w:rPr>
          <w:rFonts w:asciiTheme="majorHAnsi" w:eastAsia="Times New Roman" w:hAnsiTheme="majorHAnsi" w:cs="Times New Roman"/>
          <w:b/>
          <w:szCs w:val="24"/>
        </w:rPr>
      </w:pPr>
      <w:r w:rsidRPr="00475691">
        <w:rPr>
          <w:rFonts w:asciiTheme="majorHAnsi" w:eastAsia="Times New Roman" w:hAnsiTheme="majorHAnsi" w:cs="Times New Roman"/>
          <w:b/>
          <w:szCs w:val="24"/>
        </w:rPr>
        <w:t>Cal-Vet Farm and Home Loan Program</w:t>
      </w:r>
    </w:p>
    <w:p w:rsidR="00816EDE" w:rsidRDefault="00816EDE" w:rsidP="00816EDE">
      <w:pPr>
        <w:rPr>
          <w:rFonts w:asciiTheme="majorHAnsi" w:eastAsia="Times New Roman" w:hAnsiTheme="majorHAnsi" w:cs="Times New Roman"/>
          <w:szCs w:val="24"/>
          <w:u w:val="single"/>
        </w:rPr>
      </w:pPr>
    </w:p>
    <w:p w:rsidR="00816EDE" w:rsidRDefault="00816EDE" w:rsidP="00816EDE">
      <w:pPr>
        <w:numPr>
          <w:ilvl w:val="0"/>
          <w:numId w:val="14"/>
        </w:numPr>
        <w:spacing w:after="140"/>
        <w:rPr>
          <w:rFonts w:asciiTheme="majorHAnsi" w:eastAsia="Times New Roman" w:hAnsiTheme="majorHAnsi" w:cs="Times New Roman"/>
          <w:szCs w:val="24"/>
        </w:rPr>
      </w:pPr>
      <w:r w:rsidRPr="00475691">
        <w:rPr>
          <w:rFonts w:asciiTheme="majorHAnsi" w:eastAsia="Times New Roman" w:hAnsiTheme="majorHAnsi" w:cs="Times New Roman"/>
          <w:szCs w:val="24"/>
        </w:rPr>
        <w:t>The Cal-Vet Loan Program was established through the Farm and Home Purchase Act of 1921.</w:t>
      </w:r>
    </w:p>
    <w:p w:rsidR="00816EDE" w:rsidRDefault="00816EDE" w:rsidP="00816EDE">
      <w:pPr>
        <w:numPr>
          <w:ilvl w:val="0"/>
          <w:numId w:val="14"/>
        </w:numPr>
        <w:spacing w:after="14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Program authority is through the Military and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Code of the State of California.</w:t>
      </w:r>
    </w:p>
    <w:p w:rsidR="00816EDE" w:rsidRDefault="00816EDE" w:rsidP="00816EDE">
      <w:pPr>
        <w:numPr>
          <w:ilvl w:val="0"/>
          <w:numId w:val="14"/>
        </w:numPr>
        <w:spacing w:after="14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Oversight by the California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Board, which is appointed by the Governor and has an advisory role.</w:t>
      </w:r>
    </w:p>
    <w:p w:rsidR="00816EDE" w:rsidRPr="00475691" w:rsidRDefault="00816EDE" w:rsidP="00816EDE">
      <w:pPr>
        <w:numPr>
          <w:ilvl w:val="0"/>
          <w:numId w:val="14"/>
        </w:numPr>
        <w:spacing w:after="140"/>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Cal-Vet has provided the benefit of home ownership to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in recognition of their personal sacrifice to State and Country, at no cost to California taxpayers for the past 93 years.</w:t>
      </w:r>
    </w:p>
    <w:p w:rsidR="00816EDE" w:rsidRPr="00475691" w:rsidRDefault="00816EDE" w:rsidP="00816EDE">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Cal-Vet has assisted over 420,000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to purchase farms and homes since its inception.</w:t>
      </w:r>
    </w:p>
    <w:p w:rsidR="00816EDE" w:rsidRDefault="00816EDE" w:rsidP="00816EDE">
      <w:pPr>
        <w:jc w:val="center"/>
        <w:rPr>
          <w:rFonts w:asciiTheme="majorHAnsi" w:eastAsia="Times New Roman" w:hAnsiTheme="majorHAnsi" w:cs="Times New Roman"/>
          <w:szCs w:val="24"/>
        </w:rPr>
      </w:pPr>
    </w:p>
    <w:p w:rsidR="00E413D9" w:rsidRDefault="00E413D9" w:rsidP="00816EDE">
      <w:pPr>
        <w:jc w:val="center"/>
        <w:rPr>
          <w:rFonts w:asciiTheme="majorHAnsi" w:eastAsia="Times New Roman" w:hAnsiTheme="majorHAnsi" w:cs="Times New Roman"/>
          <w:szCs w:val="24"/>
        </w:rPr>
      </w:pPr>
    </w:p>
    <w:p w:rsidR="00466D96" w:rsidRPr="00475691" w:rsidRDefault="00466D96" w:rsidP="00816EDE">
      <w:pPr>
        <w:jc w:val="center"/>
        <w:rPr>
          <w:rFonts w:asciiTheme="majorHAnsi" w:eastAsia="Times New Roman" w:hAnsiTheme="majorHAnsi" w:cs="Times New Roman"/>
          <w:szCs w:val="24"/>
        </w:rPr>
      </w:pPr>
    </w:p>
    <w:p w:rsidR="00BA4DCF" w:rsidRDefault="00BA4DCF" w:rsidP="00BA4DCF">
      <w:pPr>
        <w:rPr>
          <w:rFonts w:asciiTheme="majorHAnsi" w:eastAsia="Times New Roman" w:hAnsiTheme="majorHAnsi" w:cs="Times New Roman"/>
          <w:szCs w:val="24"/>
        </w:rPr>
      </w:pPr>
    </w:p>
    <w:p w:rsidR="00816EDE" w:rsidRPr="00475691" w:rsidRDefault="00816EDE" w:rsidP="00BA4DCF">
      <w:pPr>
        <w:rPr>
          <w:rFonts w:asciiTheme="majorHAnsi" w:eastAsia="Times New Roman" w:hAnsiTheme="majorHAnsi" w:cs="Times New Roman"/>
          <w:szCs w:val="24"/>
        </w:rPr>
      </w:pPr>
      <w:r w:rsidRPr="00475691">
        <w:rPr>
          <w:rFonts w:asciiTheme="majorHAnsi" w:eastAsia="Times New Roman" w:hAnsiTheme="majorHAnsi" w:cs="Times New Roman"/>
          <w:szCs w:val="24"/>
        </w:rPr>
        <w:t>Farm and Home Loan Volume History</w:t>
      </w:r>
    </w:p>
    <w:p w:rsidR="00816EDE" w:rsidRPr="00475691" w:rsidRDefault="00816EDE" w:rsidP="00BA4DCF">
      <w:pPr>
        <w:jc w:val="center"/>
        <w:rPr>
          <w:rFonts w:asciiTheme="majorHAnsi" w:eastAsia="Times New Roman" w:hAnsiTheme="majorHAns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395"/>
        <w:gridCol w:w="1838"/>
        <w:gridCol w:w="2466"/>
      </w:tblGrid>
      <w:tr w:rsidR="00816EDE" w:rsidRPr="00475691" w:rsidTr="001A715E">
        <w:trPr>
          <w:trHeight w:val="743"/>
        </w:trPr>
        <w:tc>
          <w:tcPr>
            <w:tcW w:w="1636" w:type="dxa"/>
            <w:shd w:val="clear" w:color="auto" w:fill="auto"/>
            <w:hideMark/>
          </w:tcPr>
          <w:p w:rsidR="00816EDE" w:rsidRPr="00475691" w:rsidRDefault="00816EDE" w:rsidP="00BA4DCF">
            <w:pPr>
              <w:jc w:val="center"/>
              <w:rPr>
                <w:rFonts w:asciiTheme="majorHAnsi" w:eastAsia="Times New Roman" w:hAnsiTheme="majorHAnsi" w:cs="Times New Roman"/>
                <w:b/>
                <w:sz w:val="23"/>
                <w:szCs w:val="23"/>
              </w:rPr>
            </w:pPr>
          </w:p>
          <w:p w:rsidR="00816EDE" w:rsidRPr="00475691" w:rsidRDefault="00816EDE" w:rsidP="00BA4DCF">
            <w:pPr>
              <w:jc w:val="center"/>
              <w:rPr>
                <w:rFonts w:asciiTheme="majorHAnsi" w:eastAsia="Times New Roman" w:hAnsiTheme="majorHAnsi" w:cs="Times New Roman"/>
                <w:b/>
                <w:sz w:val="23"/>
                <w:szCs w:val="23"/>
              </w:rPr>
            </w:pPr>
          </w:p>
          <w:p w:rsidR="00816EDE" w:rsidRPr="00475691" w:rsidRDefault="00816EDE" w:rsidP="00BA4DCF">
            <w:pPr>
              <w:jc w:val="center"/>
              <w:rPr>
                <w:rFonts w:asciiTheme="majorHAnsi" w:eastAsia="Times New Roman" w:hAnsiTheme="majorHAnsi" w:cs="Times New Roman"/>
                <w:b/>
                <w:sz w:val="23"/>
                <w:szCs w:val="23"/>
              </w:rPr>
            </w:pPr>
          </w:p>
        </w:tc>
        <w:tc>
          <w:tcPr>
            <w:tcW w:w="2395" w:type="dxa"/>
            <w:shd w:val="clear" w:color="auto" w:fill="auto"/>
            <w:hideMark/>
          </w:tcPr>
          <w:p w:rsidR="00816EDE" w:rsidRPr="00475691" w:rsidRDefault="00816EDE" w:rsidP="00BA4DCF">
            <w:pPr>
              <w:jc w:val="center"/>
              <w:rPr>
                <w:rFonts w:asciiTheme="majorHAnsi" w:eastAsia="Times New Roman" w:hAnsiTheme="majorHAnsi" w:cs="Times New Roman"/>
                <w:b/>
                <w:sz w:val="23"/>
                <w:szCs w:val="23"/>
              </w:rPr>
            </w:pPr>
            <w:r w:rsidRPr="00475691">
              <w:rPr>
                <w:rFonts w:asciiTheme="majorHAnsi" w:eastAsia="Times New Roman" w:hAnsiTheme="majorHAnsi" w:cs="Times New Roman"/>
                <w:b/>
                <w:sz w:val="23"/>
                <w:szCs w:val="23"/>
              </w:rPr>
              <w:t>No. of Loans Funded</w:t>
            </w:r>
          </w:p>
          <w:p w:rsidR="00816EDE" w:rsidRPr="00475691" w:rsidRDefault="00816EDE" w:rsidP="00BA4DCF">
            <w:pPr>
              <w:jc w:val="center"/>
              <w:rPr>
                <w:rFonts w:asciiTheme="majorHAnsi" w:eastAsia="Times New Roman" w:hAnsiTheme="majorHAnsi" w:cs="Times New Roman"/>
                <w:b/>
                <w:sz w:val="23"/>
                <w:szCs w:val="23"/>
              </w:rPr>
            </w:pPr>
          </w:p>
          <w:p w:rsidR="00816EDE" w:rsidRPr="00475691" w:rsidRDefault="00816EDE" w:rsidP="00BA4DCF">
            <w:pPr>
              <w:jc w:val="center"/>
              <w:rPr>
                <w:rFonts w:asciiTheme="majorHAnsi" w:eastAsia="Times New Roman" w:hAnsiTheme="majorHAnsi" w:cs="Times New Roman"/>
                <w:b/>
                <w:sz w:val="23"/>
                <w:szCs w:val="23"/>
              </w:rPr>
            </w:pPr>
          </w:p>
        </w:tc>
        <w:tc>
          <w:tcPr>
            <w:tcW w:w="1838" w:type="dxa"/>
            <w:shd w:val="clear" w:color="auto" w:fill="auto"/>
            <w:hideMark/>
          </w:tcPr>
          <w:p w:rsidR="00816EDE" w:rsidRPr="00475691" w:rsidRDefault="00816EDE" w:rsidP="00BA4DCF">
            <w:pPr>
              <w:jc w:val="center"/>
              <w:rPr>
                <w:rFonts w:asciiTheme="majorHAnsi" w:eastAsia="Times New Roman" w:hAnsiTheme="majorHAnsi" w:cs="Times New Roman"/>
                <w:b/>
                <w:sz w:val="23"/>
                <w:szCs w:val="23"/>
              </w:rPr>
            </w:pPr>
            <w:r w:rsidRPr="00475691">
              <w:rPr>
                <w:rFonts w:asciiTheme="majorHAnsi" w:eastAsia="Times New Roman" w:hAnsiTheme="majorHAnsi" w:cs="Times New Roman"/>
                <w:b/>
                <w:sz w:val="23"/>
                <w:szCs w:val="23"/>
              </w:rPr>
              <w:t>Dollar Value</w:t>
            </w:r>
          </w:p>
          <w:p w:rsidR="00816EDE" w:rsidRPr="00475691" w:rsidRDefault="00816EDE" w:rsidP="00BA4DCF">
            <w:pPr>
              <w:jc w:val="center"/>
              <w:rPr>
                <w:rFonts w:asciiTheme="majorHAnsi" w:eastAsia="Times New Roman" w:hAnsiTheme="majorHAnsi" w:cs="Times New Roman"/>
                <w:b/>
                <w:sz w:val="23"/>
                <w:szCs w:val="23"/>
              </w:rPr>
            </w:pPr>
          </w:p>
          <w:p w:rsidR="00816EDE" w:rsidRPr="00475691" w:rsidRDefault="00816EDE" w:rsidP="00BA4DCF">
            <w:pPr>
              <w:jc w:val="center"/>
              <w:rPr>
                <w:rFonts w:asciiTheme="majorHAnsi" w:eastAsia="Times New Roman" w:hAnsiTheme="majorHAnsi" w:cs="Times New Roman"/>
                <w:b/>
                <w:sz w:val="23"/>
                <w:szCs w:val="23"/>
              </w:rPr>
            </w:pPr>
          </w:p>
        </w:tc>
        <w:tc>
          <w:tcPr>
            <w:tcW w:w="2466" w:type="dxa"/>
            <w:shd w:val="clear" w:color="auto" w:fill="auto"/>
            <w:hideMark/>
          </w:tcPr>
          <w:p w:rsidR="00816EDE" w:rsidRPr="00475691" w:rsidRDefault="00816EDE" w:rsidP="00BA4DCF">
            <w:pPr>
              <w:jc w:val="center"/>
              <w:rPr>
                <w:rFonts w:asciiTheme="majorHAnsi" w:eastAsia="Times New Roman" w:hAnsiTheme="majorHAnsi" w:cs="Times New Roman"/>
                <w:b/>
                <w:sz w:val="23"/>
                <w:szCs w:val="23"/>
              </w:rPr>
            </w:pPr>
            <w:r w:rsidRPr="00475691">
              <w:rPr>
                <w:rFonts w:asciiTheme="majorHAnsi" w:eastAsia="Times New Roman" w:hAnsiTheme="majorHAnsi" w:cs="Times New Roman"/>
                <w:b/>
                <w:sz w:val="23"/>
                <w:szCs w:val="23"/>
              </w:rPr>
              <w:t>Average Loan</w:t>
            </w:r>
          </w:p>
          <w:p w:rsidR="00816EDE" w:rsidRPr="00475691" w:rsidRDefault="00816EDE" w:rsidP="00BA4DCF">
            <w:pPr>
              <w:jc w:val="center"/>
              <w:rPr>
                <w:rFonts w:asciiTheme="majorHAnsi" w:eastAsia="Times New Roman" w:hAnsiTheme="majorHAnsi" w:cs="Times New Roman"/>
                <w:b/>
                <w:sz w:val="23"/>
                <w:szCs w:val="23"/>
              </w:rPr>
            </w:pPr>
            <w:r w:rsidRPr="00475691">
              <w:rPr>
                <w:rFonts w:asciiTheme="majorHAnsi" w:eastAsia="Times New Roman" w:hAnsiTheme="majorHAnsi" w:cs="Times New Roman"/>
                <w:b/>
                <w:sz w:val="23"/>
                <w:szCs w:val="23"/>
              </w:rPr>
              <w:t>Amount</w:t>
            </w:r>
          </w:p>
          <w:p w:rsidR="00816EDE" w:rsidRPr="00475691" w:rsidRDefault="00816EDE" w:rsidP="00BA4DCF">
            <w:pPr>
              <w:jc w:val="center"/>
              <w:rPr>
                <w:rFonts w:asciiTheme="majorHAnsi" w:eastAsia="Times New Roman" w:hAnsiTheme="majorHAnsi" w:cs="Times New Roman"/>
                <w:b/>
                <w:sz w:val="23"/>
                <w:szCs w:val="23"/>
              </w:rPr>
            </w:pPr>
          </w:p>
        </w:tc>
      </w:tr>
      <w:tr w:rsidR="00816EDE" w:rsidRPr="00475691" w:rsidTr="001A715E">
        <w:trPr>
          <w:trHeight w:hRule="exact" w:val="31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2015-16</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592</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181,556,846</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$306,683.86</w:t>
            </w:r>
          </w:p>
        </w:tc>
      </w:tr>
      <w:tr w:rsidR="00816EDE" w:rsidRPr="00475691" w:rsidTr="001A715E">
        <w:trPr>
          <w:trHeight w:hRule="exact" w:val="31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2014‐15</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185</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136,781,892</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$282,024.52</w:t>
            </w:r>
          </w:p>
        </w:tc>
      </w:tr>
      <w:tr w:rsidR="00816EDE" w:rsidRPr="00475691" w:rsidTr="001A715E">
        <w:trPr>
          <w:trHeight w:hRule="exact" w:val="33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2013‐14</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284</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71,523,612</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$251,843.70</w:t>
            </w:r>
          </w:p>
        </w:tc>
      </w:tr>
      <w:tr w:rsidR="00816EDE" w:rsidRPr="00475691" w:rsidTr="001A715E">
        <w:trPr>
          <w:trHeight w:hRule="exact" w:val="33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2012‐13</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69</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8,700,543</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$126,094.83</w:t>
            </w:r>
          </w:p>
        </w:tc>
      </w:tr>
      <w:tr w:rsidR="00816EDE" w:rsidRPr="00475691" w:rsidTr="001A715E">
        <w:trPr>
          <w:trHeight w:hRule="exact" w:val="33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2011‐12</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87</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11,329,222</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$130,220.94</w:t>
            </w:r>
          </w:p>
        </w:tc>
      </w:tr>
      <w:tr w:rsidR="00816EDE" w:rsidRPr="00475691" w:rsidTr="001A715E">
        <w:trPr>
          <w:trHeight w:hRule="exact" w:val="332"/>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2010‐11</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176</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21,588,775</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$122,663.49</w:t>
            </w:r>
          </w:p>
        </w:tc>
      </w:tr>
      <w:tr w:rsidR="00816EDE" w:rsidRPr="00475691" w:rsidTr="001A715E">
        <w:trPr>
          <w:trHeight w:hRule="exact" w:val="499"/>
        </w:trPr>
        <w:tc>
          <w:tcPr>
            <w:tcW w:w="1636" w:type="dxa"/>
            <w:shd w:val="clear" w:color="auto" w:fill="auto"/>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2009‐10</w:t>
            </w:r>
          </w:p>
        </w:tc>
        <w:tc>
          <w:tcPr>
            <w:tcW w:w="2395"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236</w:t>
            </w:r>
          </w:p>
        </w:tc>
        <w:tc>
          <w:tcPr>
            <w:tcW w:w="1838"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35,305,526</w:t>
            </w:r>
          </w:p>
        </w:tc>
        <w:tc>
          <w:tcPr>
            <w:tcW w:w="2466" w:type="dxa"/>
            <w:shd w:val="clear" w:color="auto" w:fill="auto"/>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$149,599.69</w:t>
            </w:r>
          </w:p>
        </w:tc>
      </w:tr>
      <w:tr w:rsidR="00816EDE" w:rsidRPr="00475691" w:rsidTr="00BA4DCF">
        <w:trPr>
          <w:trHeight w:hRule="exact" w:val="370"/>
        </w:trPr>
        <w:tc>
          <w:tcPr>
            <w:tcW w:w="1636" w:type="dxa"/>
            <w:shd w:val="clear" w:color="auto" w:fill="auto"/>
            <w:hideMark/>
          </w:tcPr>
          <w:p w:rsidR="00816EDE" w:rsidRPr="00475691" w:rsidRDefault="00816EDE" w:rsidP="00BA4DCF">
            <w:pPr>
              <w:jc w:val="center"/>
              <w:rPr>
                <w:rFonts w:asciiTheme="majorHAnsi" w:eastAsia="Times New Roman" w:hAnsiTheme="majorHAnsi" w:cs="Times New Roman"/>
                <w:b/>
                <w:sz w:val="22"/>
              </w:rPr>
            </w:pPr>
            <w:r w:rsidRPr="00475691">
              <w:rPr>
                <w:rFonts w:asciiTheme="majorHAnsi" w:eastAsia="Times New Roman" w:hAnsiTheme="majorHAnsi" w:cs="Times New Roman"/>
                <w:b/>
                <w:sz w:val="22"/>
              </w:rPr>
              <w:t>2008‐09</w:t>
            </w:r>
          </w:p>
        </w:tc>
        <w:tc>
          <w:tcPr>
            <w:tcW w:w="2395" w:type="dxa"/>
            <w:shd w:val="clear" w:color="auto" w:fill="auto"/>
            <w:hideMark/>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801</w:t>
            </w:r>
          </w:p>
        </w:tc>
        <w:tc>
          <w:tcPr>
            <w:tcW w:w="1838" w:type="dxa"/>
            <w:shd w:val="clear" w:color="auto" w:fill="auto"/>
            <w:hideMark/>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$ 192,774,862</w:t>
            </w:r>
          </w:p>
        </w:tc>
        <w:tc>
          <w:tcPr>
            <w:tcW w:w="2466" w:type="dxa"/>
            <w:shd w:val="clear" w:color="auto" w:fill="auto"/>
            <w:hideMark/>
          </w:tcPr>
          <w:p w:rsidR="00816EDE" w:rsidRPr="00475691" w:rsidRDefault="00816EDE" w:rsidP="00BA4DCF">
            <w:pPr>
              <w:jc w:val="center"/>
              <w:rPr>
                <w:rFonts w:asciiTheme="majorHAnsi" w:eastAsia="Times New Roman" w:hAnsiTheme="majorHAnsi" w:cs="Times New Roman"/>
                <w:szCs w:val="24"/>
              </w:rPr>
            </w:pPr>
            <w:r w:rsidRPr="00475691">
              <w:rPr>
                <w:rFonts w:asciiTheme="majorHAnsi" w:eastAsia="Times New Roman" w:hAnsiTheme="majorHAnsi" w:cs="Times New Roman"/>
                <w:szCs w:val="24"/>
              </w:rPr>
              <w:t>$240,667.74</w:t>
            </w:r>
          </w:p>
        </w:tc>
      </w:tr>
    </w:tbl>
    <w:p w:rsidR="00816EDE" w:rsidRPr="00475691" w:rsidRDefault="00816EDE" w:rsidP="00BA4DCF">
      <w:pPr>
        <w:jc w:val="center"/>
        <w:rPr>
          <w:rFonts w:asciiTheme="majorHAnsi" w:eastAsia="Times New Roman" w:hAnsiTheme="majorHAnsi" w:cs="Times New Roman"/>
          <w:szCs w:val="24"/>
        </w:rPr>
      </w:pPr>
    </w:p>
    <w:p w:rsidR="00816EDE" w:rsidRPr="00475691" w:rsidRDefault="00816EDE" w:rsidP="00816EDE">
      <w:pPr>
        <w:rPr>
          <w:rFonts w:asciiTheme="majorHAnsi" w:eastAsia="Times New Roman" w:hAnsiTheme="majorHAnsi" w:cs="Times New Roman"/>
          <w:szCs w:val="24"/>
        </w:rPr>
      </w:pPr>
    </w:p>
    <w:p w:rsidR="00816EDE" w:rsidRPr="00475691" w:rsidRDefault="00816EDE" w:rsidP="00816EDE">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program experienced a drop in utilization since 2000 when the total loan count was nearly 35,000.  In addition to the recession, a major reason for this decline is that up until 2008 the best loan program the department offered was only available to Vietnam-era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However the federal law was changed in 2008 to open the loan program to all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no matter the era of service.  In addition, due to artificial pressure from the Federal Reserve keeping private-sector interest rates low, the CalVet loans were not competitive during the “great recession,” but due to recent changes in the Fed policy, CalVet interest rates now are at or below market rates for 30–year fixed rate loans and they are starting to move back up. Another factor is that restrictions on the use of the bonds which capitalize the program prohibit refinancing.  </w:t>
      </w:r>
    </w:p>
    <w:p w:rsidR="00816EDE" w:rsidRPr="00475691" w:rsidRDefault="00816EDE" w:rsidP="00816EDE">
      <w:pPr>
        <w:rPr>
          <w:rFonts w:asciiTheme="majorHAnsi" w:eastAsia="Times New Roman" w:hAnsiTheme="majorHAnsi" w:cs="Times New Roman"/>
          <w:szCs w:val="24"/>
          <w:u w:val="single"/>
        </w:rPr>
      </w:pPr>
    </w:p>
    <w:p w:rsidR="00A06FB9" w:rsidRDefault="00A06FB9">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p>
    <w:p w:rsidR="00475691" w:rsidRPr="00475691" w:rsidRDefault="00A57909" w:rsidP="00475691">
      <w:pPr>
        <w:jc w:val="center"/>
        <w:rPr>
          <w:rFonts w:asciiTheme="majorHAnsi" w:eastAsia="Times New Roman" w:hAnsiTheme="majorHAnsi" w:cs="Times New Roman"/>
          <w:szCs w:val="24"/>
        </w:rPr>
      </w:pPr>
      <w:r>
        <w:rPr>
          <w:rFonts w:asciiTheme="majorHAnsi" w:eastAsia="Times New Roman" w:hAnsiTheme="majorHAnsi" w:cs="Times New Roman"/>
          <w:b/>
          <w:szCs w:val="24"/>
          <w:u w:val="single"/>
        </w:rPr>
        <w:t>Veteran</w:t>
      </w:r>
      <w:r w:rsidR="00475691" w:rsidRPr="00475691">
        <w:rPr>
          <w:rFonts w:asciiTheme="majorHAnsi" w:eastAsia="Times New Roman" w:hAnsiTheme="majorHAnsi" w:cs="Times New Roman"/>
          <w:b/>
          <w:szCs w:val="24"/>
          <w:u w:val="single"/>
        </w:rPr>
        <w:t>s Housing and Homelessness Prevention Program</w:t>
      </w:r>
    </w:p>
    <w:p w:rsidR="00475691" w:rsidRPr="00475691" w:rsidRDefault="00475691" w:rsidP="00475691">
      <w:pPr>
        <w:rPr>
          <w:rFonts w:asciiTheme="majorHAnsi" w:eastAsia="Times New Roman" w:hAnsiTheme="majorHAnsi" w:cs="Times New Roman"/>
          <w:szCs w:val="24"/>
        </w:rPr>
      </w:pPr>
    </w:p>
    <w:p w:rsidR="00816EDE" w:rsidRDefault="00816EDE" w:rsidP="00816EDE">
      <w:pPr>
        <w:rPr>
          <w:rFonts w:asciiTheme="majorHAnsi" w:eastAsia="Times New Roman" w:hAnsiTheme="majorHAnsi" w:cs="Times New Roman"/>
          <w:szCs w:val="24"/>
        </w:rPr>
      </w:pPr>
      <w:r>
        <w:rPr>
          <w:rFonts w:asciiTheme="majorHAnsi" w:eastAsia="Times New Roman" w:hAnsiTheme="majorHAnsi" w:cs="Times New Roman"/>
          <w:szCs w:val="24"/>
        </w:rPr>
        <w:t>In December 2016, t</w:t>
      </w:r>
      <w:r w:rsidR="00475691" w:rsidRPr="00475691">
        <w:rPr>
          <w:rFonts w:asciiTheme="majorHAnsi" w:eastAsia="Times New Roman" w:hAnsiTheme="majorHAnsi" w:cs="Times New Roman"/>
          <w:szCs w:val="24"/>
        </w:rPr>
        <w:t xml:space="preserve">he </w:t>
      </w:r>
      <w:r w:rsidR="00A57909">
        <w:rPr>
          <w:rFonts w:asciiTheme="majorHAnsi" w:eastAsia="Times New Roman" w:hAnsiTheme="majorHAnsi" w:cs="Times New Roman"/>
          <w:szCs w:val="24"/>
        </w:rPr>
        <w:t>Veteran</w:t>
      </w:r>
      <w:r w:rsidR="00475691" w:rsidRPr="00475691">
        <w:rPr>
          <w:rFonts w:asciiTheme="majorHAnsi" w:eastAsia="Times New Roman" w:hAnsiTheme="majorHAnsi" w:cs="Times New Roman"/>
          <w:szCs w:val="24"/>
        </w:rPr>
        <w:t xml:space="preserve">s Housing and Homelessness Prevention (VHHP) program </w:t>
      </w:r>
      <w:r>
        <w:rPr>
          <w:rFonts w:asciiTheme="majorHAnsi" w:eastAsia="Times New Roman" w:hAnsiTheme="majorHAnsi" w:cs="Times New Roman"/>
          <w:szCs w:val="24"/>
        </w:rPr>
        <w:t xml:space="preserve">made </w:t>
      </w:r>
      <w:r w:rsidR="00475691" w:rsidRPr="00475691">
        <w:rPr>
          <w:rFonts w:asciiTheme="majorHAnsi" w:eastAsia="Times New Roman" w:hAnsiTheme="majorHAnsi" w:cs="Times New Roman"/>
          <w:szCs w:val="24"/>
        </w:rPr>
        <w:t xml:space="preserve">$75 million available to communities throughout California in its third round of Notice of Funding Availability (NOFA) application cycle. </w:t>
      </w:r>
      <w:r w:rsidRPr="00816EDE">
        <w:rPr>
          <w:rFonts w:asciiTheme="majorHAnsi" w:eastAsia="Times New Roman" w:hAnsiTheme="majorHAnsi" w:cs="Times New Roman"/>
          <w:szCs w:val="24"/>
        </w:rPr>
        <w:t>Approximately $65 million is available for the development of Affordable Multifamily Rental</w:t>
      </w:r>
      <w:r>
        <w:rPr>
          <w:rFonts w:asciiTheme="majorHAnsi" w:eastAsia="Times New Roman" w:hAnsiTheme="majorHAnsi" w:cs="Times New Roman"/>
          <w:szCs w:val="24"/>
        </w:rPr>
        <w:t xml:space="preserve"> </w:t>
      </w:r>
      <w:r w:rsidRPr="00816EDE">
        <w:rPr>
          <w:rFonts w:asciiTheme="majorHAnsi" w:eastAsia="Times New Roman" w:hAnsiTheme="majorHAnsi" w:cs="Times New Roman"/>
          <w:szCs w:val="24"/>
        </w:rPr>
        <w:t>Housing containing permanent Supportive Housing units, Transitional Housing units or</w:t>
      </w:r>
      <w:r>
        <w:rPr>
          <w:rFonts w:asciiTheme="majorHAnsi" w:eastAsia="Times New Roman" w:hAnsiTheme="majorHAnsi" w:cs="Times New Roman"/>
          <w:szCs w:val="24"/>
        </w:rPr>
        <w:t xml:space="preserve"> </w:t>
      </w:r>
      <w:r w:rsidRPr="00816EDE">
        <w:rPr>
          <w:rFonts w:asciiTheme="majorHAnsi" w:eastAsia="Times New Roman" w:hAnsiTheme="majorHAnsi" w:cs="Times New Roman"/>
          <w:szCs w:val="24"/>
        </w:rPr>
        <w:t>Affordable Housing units.</w:t>
      </w:r>
      <w:r>
        <w:rPr>
          <w:rFonts w:asciiTheme="majorHAnsi" w:eastAsia="Times New Roman" w:hAnsiTheme="majorHAnsi" w:cs="Times New Roman"/>
          <w:szCs w:val="24"/>
        </w:rPr>
        <w:t xml:space="preserve"> T</w:t>
      </w:r>
      <w:r w:rsidRPr="00816EDE">
        <w:rPr>
          <w:rFonts w:asciiTheme="majorHAnsi" w:eastAsia="Times New Roman" w:hAnsiTheme="majorHAnsi" w:cs="Times New Roman"/>
          <w:szCs w:val="24"/>
        </w:rPr>
        <w:t>he rem</w:t>
      </w:r>
      <w:r w:rsidR="006B736A">
        <w:rPr>
          <w:rFonts w:asciiTheme="majorHAnsi" w:eastAsia="Times New Roman" w:hAnsiTheme="majorHAnsi" w:cs="Times New Roman"/>
          <w:szCs w:val="24"/>
        </w:rPr>
        <w:t xml:space="preserve">aining $10 million in Round III </w:t>
      </w:r>
      <w:r w:rsidRPr="00816EDE">
        <w:rPr>
          <w:rFonts w:asciiTheme="majorHAnsi" w:eastAsia="Times New Roman" w:hAnsiTheme="majorHAnsi" w:cs="Times New Roman"/>
          <w:szCs w:val="24"/>
        </w:rPr>
        <w:t>funding is dedicated exclusively to Transitional Housing and Emergency Shelters.</w:t>
      </w:r>
    </w:p>
    <w:p w:rsidR="00816EDE" w:rsidRDefault="00816EDE" w:rsidP="00475691">
      <w:pPr>
        <w:rPr>
          <w:rFonts w:asciiTheme="majorHAnsi" w:eastAsia="Times New Roman" w:hAnsiTheme="majorHAnsi" w:cs="Times New Roman"/>
          <w:szCs w:val="24"/>
        </w:rPr>
      </w:pP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Awards will be made to qualifying developers and nonprofit entities to construct, acquire, rehabilitate, or preserve affordable multifamily housing for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and their families.</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As part of the funding, and in accordance with Chapter 44, Statutes of 2016, $10 million is reserved for the construction or rehabilitation of transitional housing or shelter facilities that provide services to homeless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Funds will be awarded to programs or counties that demonstrate need, focus on long-term solutions, include mental health and addiction treatment services, and have proven long-term effectiveness.</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In 2014, California voters approved </w:t>
      </w:r>
      <w:proofErr w:type="spellStart"/>
      <w:r w:rsidR="006E11C7">
        <w:rPr>
          <w:rFonts w:asciiTheme="majorHAnsi" w:eastAsia="Times New Roman" w:hAnsiTheme="majorHAnsi" w:cs="Times New Roman"/>
          <w:szCs w:val="24"/>
        </w:rPr>
        <w:t>Propositon</w:t>
      </w:r>
      <w:proofErr w:type="spellEnd"/>
      <w:r w:rsidR="006E11C7">
        <w:rPr>
          <w:rFonts w:asciiTheme="majorHAnsi" w:eastAsia="Times New Roman" w:hAnsiTheme="majorHAnsi" w:cs="Times New Roman"/>
          <w:szCs w:val="24"/>
        </w:rPr>
        <w:t xml:space="preserve"> 41, which made available </w:t>
      </w:r>
      <w:r w:rsidRPr="00475691">
        <w:rPr>
          <w:rFonts w:asciiTheme="majorHAnsi" w:eastAsia="Times New Roman" w:hAnsiTheme="majorHAnsi" w:cs="Times New Roman"/>
          <w:szCs w:val="24"/>
        </w:rPr>
        <w:t xml:space="preserve">$600 million </w:t>
      </w:r>
      <w:r w:rsidR="008B019F">
        <w:rPr>
          <w:rFonts w:asciiTheme="majorHAnsi" w:eastAsia="Times New Roman" w:hAnsiTheme="majorHAnsi" w:cs="Times New Roman"/>
          <w:szCs w:val="24"/>
        </w:rPr>
        <w:t>in general obligation b</w:t>
      </w:r>
      <w:r w:rsidRPr="00475691">
        <w:rPr>
          <w:rFonts w:asciiTheme="majorHAnsi" w:eastAsia="Times New Roman" w:hAnsiTheme="majorHAnsi" w:cs="Times New Roman"/>
          <w:szCs w:val="24"/>
        </w:rPr>
        <w:t xml:space="preserve">onds to build housing for homeless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The California Department of Housing and Community Development, the CalVet, and the California Housing Finance Agency were tasked with jointly managing and developing the guidelines for how the funds would be expended.</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The objective of the VHHP is to develop housing for our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at risk of homelessness or experiencing temporary or chronic homelessness. To date, $176 million has been awarded to 45 developments through the first two NOFA application cycles. When complete, these developments will provide more than 1,500 housing units for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including 900 plus units for homeless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w:t>
      </w:r>
    </w:p>
    <w:p w:rsidR="00475691" w:rsidRPr="00475691" w:rsidRDefault="00475691" w:rsidP="00475691">
      <w:pPr>
        <w:rPr>
          <w:rFonts w:asciiTheme="majorHAnsi" w:eastAsia="Times New Roman" w:hAnsiTheme="majorHAnsi" w:cs="Times New Roman"/>
          <w:szCs w:val="24"/>
        </w:rPr>
      </w:pPr>
      <w:r w:rsidRPr="00475691">
        <w:rPr>
          <w:rFonts w:asciiTheme="majorHAnsi" w:eastAsia="Times New Roman" w:hAnsiTheme="majorHAnsi" w:cs="Times New Roman"/>
          <w:szCs w:val="24"/>
        </w:rPr>
        <w:t> </w:t>
      </w:r>
    </w:p>
    <w:p w:rsidR="00475691" w:rsidRPr="00475691" w:rsidRDefault="00475691" w:rsidP="00017930">
      <w:pPr>
        <w:rPr>
          <w:rFonts w:asciiTheme="majorHAnsi" w:eastAsia="Times New Roman" w:hAnsiTheme="majorHAnsi" w:cs="Times New Roman"/>
          <w:szCs w:val="24"/>
        </w:rPr>
      </w:pPr>
      <w:r w:rsidRPr="00475691">
        <w:rPr>
          <w:rFonts w:asciiTheme="majorHAnsi" w:eastAsia="Times New Roman" w:hAnsiTheme="majorHAnsi" w:cs="Times New Roman"/>
          <w:szCs w:val="24"/>
        </w:rPr>
        <w:t xml:space="preserve">Additional funds will be released annually until all of the $600 million is exhausted, with an objective of addressing the housing needs of low-income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s and reducing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 xml:space="preserve"> homelessness in California. Geographic distributions intend to focus on areas with the largest concentrations of </w:t>
      </w:r>
      <w:r w:rsidR="00A57909">
        <w:rPr>
          <w:rFonts w:asciiTheme="majorHAnsi" w:eastAsia="Times New Roman" w:hAnsiTheme="majorHAnsi" w:cs="Times New Roman"/>
          <w:szCs w:val="24"/>
        </w:rPr>
        <w:t>Veteran</w:t>
      </w:r>
      <w:r w:rsidRPr="00475691">
        <w:rPr>
          <w:rFonts w:asciiTheme="majorHAnsi" w:eastAsia="Times New Roman" w:hAnsiTheme="majorHAnsi" w:cs="Times New Roman"/>
          <w:szCs w:val="24"/>
        </w:rPr>
        <w:t>s in need.</w:t>
      </w:r>
      <w:r w:rsidR="00017930" w:rsidRPr="00475691">
        <w:rPr>
          <w:rFonts w:asciiTheme="majorHAnsi" w:eastAsia="Times New Roman" w:hAnsiTheme="majorHAnsi" w:cs="Times New Roman"/>
          <w:szCs w:val="24"/>
        </w:rPr>
        <w:t xml:space="preserve"> </w:t>
      </w:r>
    </w:p>
    <w:p w:rsidR="00332797" w:rsidRPr="002C0214" w:rsidRDefault="00332797">
      <w:pPr>
        <w:rPr>
          <w:rFonts w:asciiTheme="majorHAnsi" w:hAnsiTheme="majorHAnsi"/>
        </w:rPr>
      </w:pPr>
    </w:p>
    <w:sectPr w:rsidR="00332797" w:rsidRPr="002C0214" w:rsidSect="00610252">
      <w:headerReference w:type="default" r:id="rId8"/>
      <w:footerReference w:type="default" r:id="rId9"/>
      <w:pgSz w:w="12240" w:h="15840" w:code="1"/>
      <w:pgMar w:top="1080" w:right="1080" w:bottom="720" w:left="108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91" w:rsidRDefault="00475691" w:rsidP="00475691">
      <w:r>
        <w:separator/>
      </w:r>
    </w:p>
  </w:endnote>
  <w:endnote w:type="continuationSeparator" w:id="0">
    <w:p w:rsidR="00475691" w:rsidRDefault="00475691" w:rsidP="0047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C" w:rsidRDefault="00BC5E27">
    <w:pPr>
      <w:pStyle w:val="Footer"/>
    </w:pPr>
  </w:p>
  <w:p w:rsidR="004F624C" w:rsidRDefault="00BC5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91" w:rsidRDefault="00475691" w:rsidP="00475691">
      <w:r>
        <w:separator/>
      </w:r>
    </w:p>
  </w:footnote>
  <w:footnote w:type="continuationSeparator" w:id="0">
    <w:p w:rsidR="00475691" w:rsidRDefault="00475691" w:rsidP="0047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91" w:rsidRDefault="00475691" w:rsidP="00F809B1">
    <w:pPr>
      <w:pBdr>
        <w:bottom w:val="single" w:sz="4" w:space="7" w:color="auto"/>
      </w:pBdr>
      <w:rPr>
        <w:rFonts w:ascii="Cambria" w:hAnsi="Cambria"/>
        <w:sz w:val="20"/>
        <w:szCs w:val="20"/>
      </w:rPr>
    </w:pPr>
    <w:r>
      <w:rPr>
        <w:rFonts w:ascii="Cambria" w:hAnsi="Cambria"/>
        <w:sz w:val="20"/>
        <w:szCs w:val="20"/>
      </w:rPr>
      <w:t>Joint Veterans Affairs Committee Hearing:</w:t>
    </w:r>
    <w:r w:rsidR="00C419E5">
      <w:rPr>
        <w:rFonts w:ascii="Cambria" w:hAnsi="Cambria"/>
        <w:sz w:val="20"/>
        <w:szCs w:val="20"/>
      </w:rPr>
      <w:t xml:space="preserve"> March 21, 2017</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475691">
      <w:rPr>
        <w:rFonts w:ascii="Cambria" w:hAnsi="Cambria"/>
        <w:sz w:val="20"/>
        <w:szCs w:val="20"/>
      </w:rPr>
      <w:fldChar w:fldCharType="begin"/>
    </w:r>
    <w:r w:rsidRPr="00475691">
      <w:rPr>
        <w:rFonts w:ascii="Cambria" w:hAnsi="Cambria"/>
        <w:sz w:val="20"/>
        <w:szCs w:val="20"/>
      </w:rPr>
      <w:instrText xml:space="preserve"> PAGE   \* MERGEFORMAT </w:instrText>
    </w:r>
    <w:r w:rsidRPr="00475691">
      <w:rPr>
        <w:rFonts w:ascii="Cambria" w:hAnsi="Cambria"/>
        <w:sz w:val="20"/>
        <w:szCs w:val="20"/>
      </w:rPr>
      <w:fldChar w:fldCharType="separate"/>
    </w:r>
    <w:r w:rsidR="00394632">
      <w:rPr>
        <w:rFonts w:ascii="Cambria" w:hAnsi="Cambria"/>
        <w:noProof/>
        <w:sz w:val="20"/>
        <w:szCs w:val="20"/>
      </w:rPr>
      <w:t>8</w:t>
    </w:r>
    <w:r w:rsidRPr="00475691">
      <w:rPr>
        <w:rFonts w:ascii="Cambria" w:hAnsi="Cambria"/>
        <w:noProof/>
        <w:sz w:val="20"/>
        <w:szCs w:val="20"/>
      </w:rPr>
      <w:fldChar w:fldCharType="end"/>
    </w:r>
  </w:p>
  <w:p w:rsidR="004F624C" w:rsidRDefault="00816EDE" w:rsidP="00F809B1">
    <w:pPr>
      <w:pBdr>
        <w:bottom w:val="single" w:sz="4" w:space="7" w:color="auto"/>
      </w:pBdr>
      <w:rPr>
        <w:rFonts w:ascii="Cambria" w:hAnsi="Cambria"/>
        <w:sz w:val="20"/>
        <w:szCs w:val="20"/>
      </w:rPr>
    </w:pPr>
    <w:r>
      <w:rPr>
        <w:rFonts w:ascii="Cambria" w:hAnsi="Cambria"/>
        <w:sz w:val="20"/>
        <w:szCs w:val="20"/>
      </w:rPr>
      <w:t xml:space="preserve">2017 Priorities - </w:t>
    </w:r>
    <w:r w:rsidR="00475691">
      <w:rPr>
        <w:rFonts w:ascii="Cambria" w:hAnsi="Cambria"/>
        <w:sz w:val="20"/>
        <w:szCs w:val="20"/>
      </w:rPr>
      <w:t>California Department of Veterans Affairs</w:t>
    </w:r>
  </w:p>
  <w:p w:rsidR="00A06FB9" w:rsidRPr="003112C4" w:rsidRDefault="00C419E5" w:rsidP="00F809B1">
    <w:pPr>
      <w:pBdr>
        <w:bottom w:val="single" w:sz="4" w:space="7" w:color="auto"/>
      </w:pBdr>
      <w:spacing w:after="60"/>
      <w:rPr>
        <w:rFonts w:ascii="Cambria" w:hAnsi="Cambria"/>
        <w:sz w:val="20"/>
        <w:szCs w:val="20"/>
      </w:rPr>
    </w:pPr>
    <w:r>
      <w:rPr>
        <w:rFonts w:ascii="Cambria" w:hAnsi="Cambria"/>
        <w:sz w:val="20"/>
        <w:szCs w:val="20"/>
      </w:rPr>
      <w:t>Background Information</w:t>
    </w:r>
  </w:p>
  <w:p w:rsidR="004F624C" w:rsidRDefault="00BC5E27"/>
  <w:p w:rsidR="00A06FB9" w:rsidRDefault="00A06F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6B8"/>
    <w:multiLevelType w:val="hybridMultilevel"/>
    <w:tmpl w:val="32681510"/>
    <w:lvl w:ilvl="0" w:tplc="16B6ABB8">
      <w:start w:val="7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188"/>
    <w:multiLevelType w:val="hybridMultilevel"/>
    <w:tmpl w:val="1FB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A1212"/>
    <w:multiLevelType w:val="multilevel"/>
    <w:tmpl w:val="BE7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9423D1"/>
    <w:multiLevelType w:val="hybridMultilevel"/>
    <w:tmpl w:val="5B3468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E3F760A"/>
    <w:multiLevelType w:val="hybridMultilevel"/>
    <w:tmpl w:val="24EE0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C21990"/>
    <w:multiLevelType w:val="hybridMultilevel"/>
    <w:tmpl w:val="C374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362B3"/>
    <w:multiLevelType w:val="multilevel"/>
    <w:tmpl w:val="96B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787624"/>
    <w:multiLevelType w:val="hybridMultilevel"/>
    <w:tmpl w:val="083068C2"/>
    <w:lvl w:ilvl="0" w:tplc="04090017">
      <w:start w:val="1"/>
      <w:numFmt w:val="lowerLetter"/>
      <w:lvlText w:val="%1)"/>
      <w:lvlJc w:val="left"/>
      <w:pPr>
        <w:tabs>
          <w:tab w:val="num" w:pos="720"/>
        </w:tabs>
        <w:ind w:left="720" w:hanging="360"/>
      </w:pPr>
      <w:rPr>
        <w:rFonts w:hint="default"/>
      </w:rPr>
    </w:lvl>
    <w:lvl w:ilvl="1" w:tplc="5D9EDB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4F6F1B"/>
    <w:multiLevelType w:val="hybridMultilevel"/>
    <w:tmpl w:val="589CC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1529"/>
    <w:multiLevelType w:val="hybridMultilevel"/>
    <w:tmpl w:val="15524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B85A23"/>
    <w:multiLevelType w:val="hybridMultilevel"/>
    <w:tmpl w:val="737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E6CD6"/>
    <w:multiLevelType w:val="multilevel"/>
    <w:tmpl w:val="4E42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27434"/>
    <w:multiLevelType w:val="hybridMultilevel"/>
    <w:tmpl w:val="638C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04C18"/>
    <w:multiLevelType w:val="hybridMultilevel"/>
    <w:tmpl w:val="DC9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C6027"/>
    <w:multiLevelType w:val="hybridMultilevel"/>
    <w:tmpl w:val="732E2E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10426B"/>
    <w:multiLevelType w:val="hybridMultilevel"/>
    <w:tmpl w:val="6A24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7"/>
  </w:num>
  <w:num w:numId="5">
    <w:abstractNumId w:val="9"/>
  </w:num>
  <w:num w:numId="6">
    <w:abstractNumId w:val="13"/>
  </w:num>
  <w:num w:numId="7">
    <w:abstractNumId w:val="12"/>
  </w:num>
  <w:num w:numId="8">
    <w:abstractNumId w:val="15"/>
  </w:num>
  <w:num w:numId="9">
    <w:abstractNumId w:val="10"/>
  </w:num>
  <w:num w:numId="10">
    <w:abstractNumId w:val="8"/>
  </w:num>
  <w:num w:numId="11">
    <w:abstractNumId w:val="1"/>
  </w:num>
  <w:num w:numId="12">
    <w:abstractNumId w:val="5"/>
  </w:num>
  <w:num w:numId="13">
    <w:abstractNumId w:val="0"/>
  </w:num>
  <w:num w:numId="14">
    <w:abstractNumId w:val="1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91"/>
    <w:rsid w:val="00017930"/>
    <w:rsid w:val="001A25F9"/>
    <w:rsid w:val="0029060B"/>
    <w:rsid w:val="002A0470"/>
    <w:rsid w:val="002C0214"/>
    <w:rsid w:val="00332797"/>
    <w:rsid w:val="00385C03"/>
    <w:rsid w:val="00394632"/>
    <w:rsid w:val="003D67EB"/>
    <w:rsid w:val="00466D96"/>
    <w:rsid w:val="00475691"/>
    <w:rsid w:val="005E738A"/>
    <w:rsid w:val="00671BC6"/>
    <w:rsid w:val="006B736A"/>
    <w:rsid w:val="006D3997"/>
    <w:rsid w:val="006E11C7"/>
    <w:rsid w:val="0077250D"/>
    <w:rsid w:val="00816EDE"/>
    <w:rsid w:val="008B019F"/>
    <w:rsid w:val="0091626C"/>
    <w:rsid w:val="0094755B"/>
    <w:rsid w:val="00A06FB9"/>
    <w:rsid w:val="00A43CE2"/>
    <w:rsid w:val="00A57909"/>
    <w:rsid w:val="00BA4DCF"/>
    <w:rsid w:val="00BC5E27"/>
    <w:rsid w:val="00C3507D"/>
    <w:rsid w:val="00C419E5"/>
    <w:rsid w:val="00C5385A"/>
    <w:rsid w:val="00DA371C"/>
    <w:rsid w:val="00E413D9"/>
    <w:rsid w:val="00F8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91"/>
    <w:pPr>
      <w:tabs>
        <w:tab w:val="center" w:pos="4680"/>
        <w:tab w:val="right" w:pos="9360"/>
      </w:tabs>
    </w:pPr>
  </w:style>
  <w:style w:type="character" w:customStyle="1" w:styleId="HeaderChar">
    <w:name w:val="Header Char"/>
    <w:basedOn w:val="DefaultParagraphFont"/>
    <w:link w:val="Header"/>
    <w:uiPriority w:val="99"/>
    <w:rsid w:val="00475691"/>
  </w:style>
  <w:style w:type="paragraph" w:styleId="Footer">
    <w:name w:val="footer"/>
    <w:basedOn w:val="Normal"/>
    <w:link w:val="FooterChar"/>
    <w:uiPriority w:val="99"/>
    <w:unhideWhenUsed/>
    <w:rsid w:val="00475691"/>
    <w:pPr>
      <w:tabs>
        <w:tab w:val="center" w:pos="4680"/>
        <w:tab w:val="right" w:pos="9360"/>
      </w:tabs>
    </w:pPr>
  </w:style>
  <w:style w:type="character" w:customStyle="1" w:styleId="FooterChar">
    <w:name w:val="Footer Char"/>
    <w:basedOn w:val="DefaultParagraphFont"/>
    <w:link w:val="Footer"/>
    <w:uiPriority w:val="99"/>
    <w:rsid w:val="00475691"/>
  </w:style>
  <w:style w:type="paragraph" w:styleId="BalloonText">
    <w:name w:val="Balloon Text"/>
    <w:basedOn w:val="Normal"/>
    <w:link w:val="BalloonTextChar"/>
    <w:uiPriority w:val="99"/>
    <w:semiHidden/>
    <w:unhideWhenUsed/>
    <w:rsid w:val="00475691"/>
    <w:rPr>
      <w:rFonts w:ascii="Tahoma" w:hAnsi="Tahoma" w:cs="Tahoma"/>
      <w:sz w:val="16"/>
      <w:szCs w:val="16"/>
    </w:rPr>
  </w:style>
  <w:style w:type="character" w:customStyle="1" w:styleId="BalloonTextChar">
    <w:name w:val="Balloon Text Char"/>
    <w:basedOn w:val="DefaultParagraphFont"/>
    <w:link w:val="BalloonText"/>
    <w:uiPriority w:val="99"/>
    <w:semiHidden/>
    <w:rsid w:val="00475691"/>
    <w:rPr>
      <w:rFonts w:ascii="Tahoma" w:hAnsi="Tahoma" w:cs="Tahoma"/>
      <w:sz w:val="16"/>
      <w:szCs w:val="16"/>
    </w:rPr>
  </w:style>
  <w:style w:type="table" w:styleId="TableGrid">
    <w:name w:val="Table Grid"/>
    <w:basedOn w:val="TableNormal"/>
    <w:uiPriority w:val="59"/>
    <w:rsid w:val="0077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03"/>
    <w:pPr>
      <w:ind w:left="720"/>
      <w:contextualSpacing/>
    </w:pPr>
  </w:style>
  <w:style w:type="paragraph" w:customStyle="1" w:styleId="Pa13">
    <w:name w:val="Pa13"/>
    <w:basedOn w:val="Normal"/>
    <w:next w:val="Normal"/>
    <w:uiPriority w:val="99"/>
    <w:rsid w:val="00BA4DCF"/>
    <w:pPr>
      <w:autoSpaceDE w:val="0"/>
      <w:autoSpaceDN w:val="0"/>
      <w:adjustRightInd w:val="0"/>
      <w:spacing w:line="241" w:lineRule="atLeast"/>
    </w:pPr>
    <w:rPr>
      <w:rFonts w:ascii="Helvetica 55 Roman" w:hAnsi="Helvetica 55 Roman"/>
      <w:szCs w:val="24"/>
    </w:rPr>
  </w:style>
  <w:style w:type="character" w:customStyle="1" w:styleId="A7">
    <w:name w:val="A7"/>
    <w:uiPriority w:val="99"/>
    <w:rsid w:val="00BA4DCF"/>
    <w:rPr>
      <w:rFonts w:cs="Helvetica 55 Roman"/>
      <w:color w:val="221E1F"/>
      <w:sz w:val="22"/>
      <w:szCs w:val="22"/>
    </w:rPr>
  </w:style>
  <w:style w:type="character" w:styleId="Hyperlink">
    <w:name w:val="Hyperlink"/>
    <w:basedOn w:val="DefaultParagraphFont"/>
    <w:uiPriority w:val="99"/>
    <w:unhideWhenUsed/>
    <w:rsid w:val="0046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691"/>
    <w:pPr>
      <w:tabs>
        <w:tab w:val="center" w:pos="4680"/>
        <w:tab w:val="right" w:pos="9360"/>
      </w:tabs>
    </w:pPr>
  </w:style>
  <w:style w:type="character" w:customStyle="1" w:styleId="HeaderChar">
    <w:name w:val="Header Char"/>
    <w:basedOn w:val="DefaultParagraphFont"/>
    <w:link w:val="Header"/>
    <w:uiPriority w:val="99"/>
    <w:rsid w:val="00475691"/>
  </w:style>
  <w:style w:type="paragraph" w:styleId="Footer">
    <w:name w:val="footer"/>
    <w:basedOn w:val="Normal"/>
    <w:link w:val="FooterChar"/>
    <w:uiPriority w:val="99"/>
    <w:unhideWhenUsed/>
    <w:rsid w:val="00475691"/>
    <w:pPr>
      <w:tabs>
        <w:tab w:val="center" w:pos="4680"/>
        <w:tab w:val="right" w:pos="9360"/>
      </w:tabs>
    </w:pPr>
  </w:style>
  <w:style w:type="character" w:customStyle="1" w:styleId="FooterChar">
    <w:name w:val="Footer Char"/>
    <w:basedOn w:val="DefaultParagraphFont"/>
    <w:link w:val="Footer"/>
    <w:uiPriority w:val="99"/>
    <w:rsid w:val="00475691"/>
  </w:style>
  <w:style w:type="paragraph" w:styleId="BalloonText">
    <w:name w:val="Balloon Text"/>
    <w:basedOn w:val="Normal"/>
    <w:link w:val="BalloonTextChar"/>
    <w:uiPriority w:val="99"/>
    <w:semiHidden/>
    <w:unhideWhenUsed/>
    <w:rsid w:val="00475691"/>
    <w:rPr>
      <w:rFonts w:ascii="Tahoma" w:hAnsi="Tahoma" w:cs="Tahoma"/>
      <w:sz w:val="16"/>
      <w:szCs w:val="16"/>
    </w:rPr>
  </w:style>
  <w:style w:type="character" w:customStyle="1" w:styleId="BalloonTextChar">
    <w:name w:val="Balloon Text Char"/>
    <w:basedOn w:val="DefaultParagraphFont"/>
    <w:link w:val="BalloonText"/>
    <w:uiPriority w:val="99"/>
    <w:semiHidden/>
    <w:rsid w:val="00475691"/>
    <w:rPr>
      <w:rFonts w:ascii="Tahoma" w:hAnsi="Tahoma" w:cs="Tahoma"/>
      <w:sz w:val="16"/>
      <w:szCs w:val="16"/>
    </w:rPr>
  </w:style>
  <w:style w:type="table" w:styleId="TableGrid">
    <w:name w:val="Table Grid"/>
    <w:basedOn w:val="TableNormal"/>
    <w:uiPriority w:val="59"/>
    <w:rsid w:val="0077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03"/>
    <w:pPr>
      <w:ind w:left="720"/>
      <w:contextualSpacing/>
    </w:pPr>
  </w:style>
  <w:style w:type="paragraph" w:customStyle="1" w:styleId="Pa13">
    <w:name w:val="Pa13"/>
    <w:basedOn w:val="Normal"/>
    <w:next w:val="Normal"/>
    <w:uiPriority w:val="99"/>
    <w:rsid w:val="00BA4DCF"/>
    <w:pPr>
      <w:autoSpaceDE w:val="0"/>
      <w:autoSpaceDN w:val="0"/>
      <w:adjustRightInd w:val="0"/>
      <w:spacing w:line="241" w:lineRule="atLeast"/>
    </w:pPr>
    <w:rPr>
      <w:rFonts w:ascii="Helvetica 55 Roman" w:hAnsi="Helvetica 55 Roman"/>
      <w:szCs w:val="24"/>
    </w:rPr>
  </w:style>
  <w:style w:type="character" w:customStyle="1" w:styleId="A7">
    <w:name w:val="A7"/>
    <w:uiPriority w:val="99"/>
    <w:rsid w:val="00BA4DCF"/>
    <w:rPr>
      <w:rFonts w:cs="Helvetica 55 Roman"/>
      <w:color w:val="221E1F"/>
      <w:sz w:val="22"/>
      <w:szCs w:val="22"/>
    </w:rPr>
  </w:style>
  <w:style w:type="character" w:styleId="Hyperlink">
    <w:name w:val="Hyperlink"/>
    <w:basedOn w:val="DefaultParagraphFont"/>
    <w:uiPriority w:val="99"/>
    <w:unhideWhenUsed/>
    <w:rsid w:val="00466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392">
      <w:bodyDiv w:val="1"/>
      <w:marLeft w:val="0"/>
      <w:marRight w:val="0"/>
      <w:marTop w:val="0"/>
      <w:marBottom w:val="0"/>
      <w:divBdr>
        <w:top w:val="none" w:sz="0" w:space="0" w:color="auto"/>
        <w:left w:val="none" w:sz="0" w:space="0" w:color="auto"/>
        <w:bottom w:val="none" w:sz="0" w:space="0" w:color="auto"/>
        <w:right w:val="none" w:sz="0" w:space="0" w:color="auto"/>
      </w:divBdr>
    </w:div>
    <w:div w:id="7924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Wade</dc:creator>
  <cp:lastModifiedBy>Baldwin, Cindy</cp:lastModifiedBy>
  <cp:revision>2</cp:revision>
  <dcterms:created xsi:type="dcterms:W3CDTF">2017-03-20T23:26:00Z</dcterms:created>
  <dcterms:modified xsi:type="dcterms:W3CDTF">2017-03-20T23:26:00Z</dcterms:modified>
</cp:coreProperties>
</file>