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2" w:type="pct"/>
        <w:tblCellSpacing w:w="15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103"/>
        <w:gridCol w:w="6205"/>
        <w:gridCol w:w="2161"/>
        <w:gridCol w:w="176"/>
      </w:tblGrid>
      <w:tr w:rsidR="00015920" w:rsidTr="00020DCC">
        <w:trPr>
          <w:gridBefore w:val="1"/>
          <w:gridAfter w:val="1"/>
          <w:wBefore w:w="34" w:type="pct"/>
          <w:wAfter w:w="34" w:type="pct"/>
          <w:tblCellSpacing w:w="15" w:type="dxa"/>
        </w:trPr>
        <w:tc>
          <w:tcPr>
            <w:tcW w:w="974" w:type="pct"/>
          </w:tcPr>
          <w:p w:rsidR="00D92CD6" w:rsidRDefault="00205945">
            <w:pPr>
              <w:jc w:val="center"/>
            </w:pPr>
            <w:r>
              <w:rPr>
                <w:rFonts w:asci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Runner, Sharon</w:t>
            </w:r>
            <w:r>
              <w:br/>
            </w:r>
            <w:r>
              <w:br/>
            </w:r>
            <w:r>
              <w:rPr>
                <w:rFonts w:asci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Block, Marty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Hancock, Loni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Leyva, Connie M.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Mendoza, Tony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Monning, Bill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Pan, Richard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Vidak, Andy</w:t>
            </w:r>
            <w:r>
              <w:br/>
            </w:r>
          </w:p>
        </w:tc>
        <w:tc>
          <w:tcPr>
            <w:tcW w:w="2901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E46A006" wp14:editId="5675EA5C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CD6" w:rsidRDefault="00205945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EDUCATION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 wp14:anchorId="04AC9FA5" wp14:editId="6D7536B5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CD6" w:rsidRDefault="00205945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CAROL  </w:t>
            </w:r>
            <w:r>
              <w:rPr>
                <w:rFonts w:ascii="Arial" w:hAnsi="Arial" w:cs="Arial"/>
              </w:rPr>
              <w:t>LIU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t>CHAIR</w:t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974" w:type="pct"/>
          </w:tcPr>
          <w:p w:rsidR="00D92CD6" w:rsidRDefault="00205945">
            <w:pPr>
              <w:jc w:val="center"/>
            </w:pPr>
            <w:r>
              <w:rPr>
                <w:rFonts w:asci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Kathleen Chavira</w:t>
            </w:r>
            <w:r>
              <w:br/>
            </w:r>
            <w:r>
              <w:br/>
            </w:r>
            <w:r>
              <w:rPr>
                <w:rFonts w:asci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Lynn Lorber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Olgalilia Ramirez</w:t>
            </w:r>
            <w:r>
              <w:br/>
            </w:r>
            <w:r>
              <w:br/>
            </w:r>
            <w:r>
              <w:rPr>
                <w:rFonts w:asci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Vanessa Nancarrow</w:t>
            </w:r>
            <w:r>
              <w:br/>
            </w:r>
            <w:r>
              <w:rPr>
                <w:rFonts w:ascii="Arial"/>
                <w:color w:val="0056A5"/>
                <w:sz w:val="14"/>
              </w:rPr>
              <w:t>Irma Kam</w:t>
            </w:r>
            <w:r>
              <w:br/>
            </w:r>
          </w:p>
          <w:p w:rsidR="00D92CD6" w:rsidRDefault="00205945">
            <w:pPr>
              <w:jc w:val="center"/>
            </w:pPr>
            <w:r>
              <w:rPr>
                <w:rFonts w:ascii="Arial"/>
                <w:b/>
                <w:color w:val="0056A5"/>
                <w:sz w:val="15"/>
              </w:rPr>
              <w:t>State Capitol, Room 2083</w:t>
            </w:r>
            <w:r>
              <w:br/>
            </w:r>
            <w:r>
              <w:rPr>
                <w:rFonts w:ascii="Arial"/>
                <w:b/>
                <w:color w:val="0056A5"/>
                <w:sz w:val="15"/>
              </w:rPr>
              <w:t>(916) 651-4105</w:t>
            </w:r>
            <w:r>
              <w:br/>
            </w:r>
            <w:r>
              <w:rPr>
                <w:rFonts w:ascii="Arial"/>
                <w:b/>
                <w:color w:val="0056A5"/>
                <w:sz w:val="15"/>
              </w:rPr>
              <w:t>FAX: (916) 445-7799</w:t>
            </w:r>
            <w:r>
              <w:br/>
            </w:r>
          </w:p>
        </w:tc>
      </w:tr>
      <w:tr w:rsidR="00015920" w:rsidTr="00020DCC">
        <w:trPr>
          <w:gridBefore w:val="1"/>
          <w:gridAfter w:val="1"/>
          <w:wBefore w:w="34" w:type="pct"/>
          <w:wAfter w:w="34" w:type="pct"/>
          <w:tblCellSpacing w:w="15" w:type="dxa"/>
        </w:trPr>
        <w:tc>
          <w:tcPr>
            <w:tcW w:w="4876" w:type="pct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92CD6" w:rsidRDefault="00205945">
            <w:pPr>
              <w:jc w:val="center"/>
            </w:pPr>
            <w:r w:rsidRPr="00020DCC">
              <w:rPr>
                <w:rFonts w:ascii="Arial"/>
                <w:color w:val="0056A5"/>
                <w:sz w:val="24"/>
                <w:szCs w:val="24"/>
              </w:rPr>
              <w:t>Wednesday, July 1, 2015</w:t>
            </w:r>
            <w:r>
              <w:rPr>
                <w:rFonts w:ascii="Arial"/>
                <w:color w:val="0056A5"/>
                <w:sz w:val="17"/>
              </w:rPr>
              <w:t xml:space="preserve"> </w:t>
            </w:r>
            <w:r>
              <w:br/>
            </w:r>
            <w:r>
              <w:rPr>
                <w:rFonts w:ascii="Arial"/>
                <w:color w:val="0056A5"/>
                <w:sz w:val="17"/>
              </w:rPr>
              <w:t>9 a.m. -- John L. Burton Hearing Room (4203)</w:t>
            </w:r>
          </w:p>
          <w:p w:rsidR="00D92CD6" w:rsidRDefault="00D92CD6">
            <w:pPr>
              <w:jc w:val="center"/>
            </w:pPr>
          </w:p>
        </w:tc>
      </w:tr>
      <w:tr w:rsidR="00D92CD6" w:rsidTr="00020DCC">
        <w:tblPrEx>
          <w:tblCellSpacing w:w="20" w:type="dxa"/>
          <w:tblCellMar>
            <w:left w:w="108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4972" w:type="pct"/>
            <w:gridSpan w:val="5"/>
          </w:tcPr>
          <w:p w:rsidR="00D92CD6" w:rsidRDefault="00205945">
            <w:pPr>
              <w:jc w:val="center"/>
            </w:pPr>
            <w:r>
              <w:rPr>
                <w:rFonts w:ascii="Arial"/>
                <w:b/>
                <w:color w:val="000000"/>
                <w:sz w:val="27"/>
                <w:u w:val="single"/>
              </w:rPr>
              <w:t>BILLS HEARD IN SIGN-IN ORDER</w:t>
            </w:r>
          </w:p>
        </w:tc>
      </w:tr>
    </w:tbl>
    <w:p w:rsidR="00D92CD6" w:rsidRDefault="00D92CD6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8"/>
        <w:gridCol w:w="729"/>
        <w:gridCol w:w="1208"/>
        <w:gridCol w:w="2295"/>
        <w:gridCol w:w="5833"/>
      </w:tblGrid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 w:rsidRPr="00020DCC">
              <w:rPr>
                <w:rFonts w:ascii="Arial"/>
                <w:b/>
                <w:color w:val="000000"/>
                <w:sz w:val="32"/>
                <w:szCs w:val="32"/>
              </w:rPr>
              <w:t>**</w:t>
            </w: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58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Rodriguez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School safety plans.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2.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146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Cristina Garcia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Pupil instruction: social sciences: deportations to Mexico.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3.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288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Holden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 xml:space="preserve">Public schools: College and Career Access Pathways partnerships. 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 w:rsidRPr="00020DCC">
              <w:rPr>
                <w:rFonts w:ascii="Arial"/>
                <w:b/>
                <w:color w:val="000000"/>
                <w:sz w:val="32"/>
                <w:szCs w:val="32"/>
              </w:rPr>
              <w:t>**</w:t>
            </w: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4.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306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Hadley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Public schools: attendance alternatives: children of military personnel.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5.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329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Weber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Pupil instruction: sexual health education.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6.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404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Chiu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Community colleges: accreditation.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7.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542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Wilk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Community colleges: early and middle college high schools.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>
              <w:rPr>
                <w:rFonts w:ascii="Arial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8.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580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O'Donnell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Pupil mental health: model referral protocols.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9.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709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Gipson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Charter schools.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10.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721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Medina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 xml:space="preserve">Student financial aid: private student loans. 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>
              <w:rPr>
                <w:rFonts w:ascii="Arial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11.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752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Salas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Private postsecondary education: California Private Postsecondary Education Act of 2009.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12.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787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Roger Hern</w:t>
            </w:r>
            <w:r>
              <w:rPr>
                <w:rFonts w:ascii="Arial"/>
                <w:color w:val="000000"/>
              </w:rPr>
              <w:t>á</w:t>
            </w:r>
            <w:r>
              <w:rPr>
                <w:rFonts w:ascii="Arial"/>
                <w:color w:val="000000"/>
              </w:rPr>
              <w:t>ndez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Charter schools: operation: nonprofit public benefit corporations.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 w:rsidRPr="00020DCC">
              <w:rPr>
                <w:rFonts w:ascii="Arial"/>
                <w:b/>
                <w:color w:val="000000"/>
                <w:sz w:val="32"/>
                <w:szCs w:val="32"/>
              </w:rPr>
              <w:t>**</w:t>
            </w: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13.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943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Travis Allen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 xml:space="preserve">Charter schools: California Collaborative for Educational Excellence. 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14.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949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Gonzalez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Physical education: competition cheer.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15.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982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Eggman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Child care and development: eligibility: homeless children.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>
              <w:rPr>
                <w:rFonts w:ascii="Arial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16.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1064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Roger Hern</w:t>
            </w:r>
            <w:r>
              <w:rPr>
                <w:rFonts w:ascii="Arial"/>
                <w:color w:val="000000"/>
              </w:rPr>
              <w:t>á</w:t>
            </w:r>
            <w:r>
              <w:rPr>
                <w:rFonts w:ascii="Arial"/>
                <w:color w:val="000000"/>
              </w:rPr>
              <w:t>ndez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Education finance: indirect cost rates.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17.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1099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Olsen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School accountability: local control and accountability plans: teacher evaluations.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18.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1358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Dababneh</w:t>
            </w:r>
          </w:p>
        </w:tc>
        <w:tc>
          <w:tcPr>
            <w:tcW w:w="5773" w:type="dxa"/>
          </w:tcPr>
          <w:p w:rsidR="00020DCC" w:rsidRDefault="00020DCC">
            <w:r>
              <w:rPr>
                <w:rFonts w:ascii="Arial"/>
                <w:color w:val="000000"/>
              </w:rPr>
              <w:t>School facilities: design-build contracts.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638" w:type="dxa"/>
          </w:tcPr>
          <w:p w:rsidR="00020DCC" w:rsidRPr="00020DCC" w:rsidRDefault="00020DCC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020DCC" w:rsidRDefault="00020DCC">
            <w:r>
              <w:rPr>
                <w:rFonts w:ascii="Arial"/>
                <w:color w:val="000000"/>
              </w:rPr>
              <w:t>19.</w:t>
            </w:r>
          </w:p>
        </w:tc>
        <w:tc>
          <w:tcPr>
            <w:tcW w:w="1168" w:type="dxa"/>
          </w:tcPr>
          <w:p w:rsidR="00020DCC" w:rsidRDefault="00020DCC">
            <w:r>
              <w:rPr>
                <w:rFonts w:ascii="Arial"/>
                <w:color w:val="000000"/>
              </w:rPr>
              <w:t>AB 1426</w:t>
            </w:r>
          </w:p>
        </w:tc>
        <w:tc>
          <w:tcPr>
            <w:tcW w:w="2255" w:type="dxa"/>
          </w:tcPr>
          <w:p w:rsidR="00020DCC" w:rsidRDefault="00020DCC">
            <w:r>
              <w:rPr>
                <w:rFonts w:ascii="Arial"/>
                <w:color w:val="000000"/>
              </w:rPr>
              <w:t>Levine</w:t>
            </w:r>
          </w:p>
        </w:tc>
        <w:tc>
          <w:tcPr>
            <w:tcW w:w="5773" w:type="dxa"/>
          </w:tcPr>
          <w:p w:rsidR="00020DCC" w:rsidRDefault="00020DCC">
            <w:pPr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>Charter schools: classroom-based and nonclassroom-based instruction: blended learning charter schools.</w:t>
            </w:r>
          </w:p>
          <w:p w:rsidR="00020DCC" w:rsidRDefault="00020DCC"/>
        </w:tc>
      </w:tr>
      <w:tr w:rsidR="00020DCC" w:rsidTr="00020DCC">
        <w:trPr>
          <w:cantSplit/>
          <w:tblCellSpacing w:w="20" w:type="dxa"/>
        </w:trPr>
        <w:tc>
          <w:tcPr>
            <w:tcW w:w="10683" w:type="dxa"/>
            <w:gridSpan w:val="5"/>
          </w:tcPr>
          <w:p w:rsidR="00020DCC" w:rsidRPr="00020DCC" w:rsidRDefault="00020DCC" w:rsidP="00020DCC">
            <w:pPr>
              <w:rPr>
                <w:rFonts w:ascii="Arial"/>
                <w:color w:val="000000"/>
                <w:sz w:val="24"/>
                <w:szCs w:val="24"/>
              </w:rPr>
            </w:pPr>
            <w:r w:rsidRPr="00020DCC">
              <w:rPr>
                <w:rFonts w:ascii="Arial"/>
                <w:b/>
                <w:color w:val="FFFFFF" w:themeColor="background1"/>
                <w:sz w:val="32"/>
                <w:szCs w:val="32"/>
              </w:rPr>
              <w:t>*</w:t>
            </w:r>
            <w:r>
              <w:rPr>
                <w:rFonts w:ascii="Arial"/>
                <w:b/>
                <w:color w:val="000000"/>
                <w:sz w:val="32"/>
                <w:szCs w:val="32"/>
              </w:rPr>
              <w:t>*</w:t>
            </w:r>
            <w:r w:rsidRPr="00020DCC">
              <w:rPr>
                <w:rFonts w:ascii="Arial"/>
                <w:color w:val="000000"/>
                <w:sz w:val="20"/>
                <w:szCs w:val="20"/>
              </w:rPr>
              <w:t>Proposed Consent</w:t>
            </w:r>
          </w:p>
        </w:tc>
      </w:tr>
      <w:tr w:rsidR="00020DCC" w:rsidTr="00020DCC">
        <w:trPr>
          <w:cantSplit/>
          <w:tblCellSpacing w:w="20" w:type="dxa"/>
        </w:trPr>
        <w:tc>
          <w:tcPr>
            <w:tcW w:w="10683" w:type="dxa"/>
            <w:gridSpan w:val="5"/>
          </w:tcPr>
          <w:p w:rsidR="00020DCC" w:rsidRPr="00020DCC" w:rsidRDefault="00020DCC" w:rsidP="00A41B42">
            <w:pPr>
              <w:rPr>
                <w:rFonts w:ascii="Arial"/>
                <w:b/>
                <w:color w:val="000000"/>
                <w:sz w:val="32"/>
                <w:szCs w:val="32"/>
              </w:rPr>
            </w:pPr>
            <w:r>
              <w:rPr>
                <w:rFonts w:ascii="Arial"/>
                <w:b/>
                <w:color w:val="000000"/>
                <w:sz w:val="32"/>
                <w:szCs w:val="32"/>
              </w:rPr>
              <w:t>**</w:t>
            </w:r>
            <w:r w:rsidR="00205945">
              <w:rPr>
                <w:rFonts w:ascii="Arial"/>
                <w:color w:val="000000"/>
                <w:sz w:val="20"/>
                <w:szCs w:val="20"/>
              </w:rPr>
              <w:t>Proposed Consent w/Amendments</w:t>
            </w:r>
            <w:bookmarkStart w:id="0" w:name="_GoBack"/>
            <w:bookmarkEnd w:id="0"/>
          </w:p>
        </w:tc>
      </w:tr>
    </w:tbl>
    <w:p w:rsidR="00E768B7" w:rsidRDefault="00E768B7" w:rsidP="00020DCC"/>
    <w:sectPr w:rsidR="00E768B7"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945">
      <w:r>
        <w:separator/>
      </w:r>
    </w:p>
  </w:endnote>
  <w:endnote w:type="continuationSeparator" w:id="0">
    <w:p w:rsidR="00000000" w:rsidRDefault="0020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5945">
      <w:r>
        <w:separator/>
      </w:r>
    </w:p>
  </w:footnote>
  <w:footnote w:type="continuationSeparator" w:id="0">
    <w:p w:rsidR="00000000" w:rsidRDefault="0020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222"/>
    <w:multiLevelType w:val="hybridMultilevel"/>
    <w:tmpl w:val="FC6090B2"/>
    <w:lvl w:ilvl="0" w:tplc="1652863A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020DCC"/>
    <w:rsid w:val="00205945"/>
    <w:rsid w:val="00D92CD6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02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C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020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Nancarrow, Vanessa</cp:lastModifiedBy>
  <cp:revision>3</cp:revision>
  <cp:lastPrinted>2015-06-29T21:51:00Z</cp:lastPrinted>
  <dcterms:created xsi:type="dcterms:W3CDTF">2015-06-29T21:52:00Z</dcterms:created>
  <dcterms:modified xsi:type="dcterms:W3CDTF">2015-06-29T21:53:00Z</dcterms:modified>
</cp:coreProperties>
</file>