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54" w:rsidRPr="00FA7F56" w:rsidRDefault="00AD7D2E" w:rsidP="00AD7D2E">
      <w:pPr>
        <w:pStyle w:val="Block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California Senate </w:t>
      </w:r>
      <w:r w:rsidR="000D6154" w:rsidRPr="00FA7F56">
        <w:rPr>
          <w:sz w:val="28"/>
          <w:szCs w:val="28"/>
        </w:rPr>
        <w:t>Committee on Transportation and Housing</w:t>
      </w:r>
      <w:r w:rsidR="00FA7F56">
        <w:rPr>
          <w:sz w:val="28"/>
          <w:szCs w:val="28"/>
        </w:rPr>
        <w:t xml:space="preserve"> </w:t>
      </w:r>
    </w:p>
    <w:p w:rsidR="000D6154" w:rsidRDefault="000D6154" w:rsidP="00AD7D2E">
      <w:pPr>
        <w:pStyle w:val="BlockText"/>
        <w:jc w:val="center"/>
        <w:rPr>
          <w:sz w:val="28"/>
          <w:szCs w:val="28"/>
        </w:rPr>
      </w:pPr>
      <w:r w:rsidRPr="00FA7F56">
        <w:rPr>
          <w:sz w:val="28"/>
          <w:szCs w:val="28"/>
        </w:rPr>
        <w:t xml:space="preserve">Meeting the Goals of AB32 </w:t>
      </w:r>
      <w:r w:rsidR="00FA7F56">
        <w:rPr>
          <w:sz w:val="28"/>
          <w:szCs w:val="28"/>
        </w:rPr>
        <w:t xml:space="preserve">- </w:t>
      </w:r>
      <w:r w:rsidRPr="00FA7F56">
        <w:rPr>
          <w:sz w:val="28"/>
          <w:szCs w:val="28"/>
        </w:rPr>
        <w:t>Fuels of the Future</w:t>
      </w:r>
    </w:p>
    <w:p w:rsidR="00421416" w:rsidRPr="00FA7F56" w:rsidRDefault="00421416" w:rsidP="00AD7D2E">
      <w:pPr>
        <w:pStyle w:val="BlockText"/>
        <w:jc w:val="center"/>
        <w:rPr>
          <w:sz w:val="28"/>
          <w:szCs w:val="28"/>
        </w:rPr>
      </w:pPr>
      <w:r>
        <w:rPr>
          <w:sz w:val="28"/>
          <w:szCs w:val="28"/>
        </w:rPr>
        <w:t>October 24, 2011</w:t>
      </w:r>
    </w:p>
    <w:p w:rsidR="000D6154" w:rsidRPr="00FA7F56" w:rsidRDefault="000D6154" w:rsidP="00AD7D2E">
      <w:pPr>
        <w:pStyle w:val="BlockText"/>
        <w:jc w:val="center"/>
        <w:rPr>
          <w:sz w:val="28"/>
          <w:szCs w:val="28"/>
        </w:rPr>
      </w:pPr>
    </w:p>
    <w:p w:rsidR="000D6154" w:rsidRPr="00FA7F56" w:rsidRDefault="000D6154" w:rsidP="00AD7D2E">
      <w:pPr>
        <w:pStyle w:val="BlockText"/>
        <w:jc w:val="center"/>
        <w:rPr>
          <w:sz w:val="28"/>
          <w:szCs w:val="28"/>
        </w:rPr>
      </w:pPr>
      <w:r w:rsidRPr="00FA7F56">
        <w:rPr>
          <w:sz w:val="28"/>
          <w:szCs w:val="28"/>
        </w:rPr>
        <w:t>Testimony</w:t>
      </w:r>
      <w:r w:rsidR="00421416">
        <w:rPr>
          <w:sz w:val="28"/>
          <w:szCs w:val="28"/>
        </w:rPr>
        <w:t xml:space="preserve"> of</w:t>
      </w:r>
    </w:p>
    <w:p w:rsidR="000D6154" w:rsidRPr="00FA7F56" w:rsidRDefault="000D6154" w:rsidP="00AD7D2E">
      <w:pPr>
        <w:pStyle w:val="BlockText"/>
        <w:jc w:val="center"/>
        <w:rPr>
          <w:sz w:val="28"/>
          <w:szCs w:val="28"/>
        </w:rPr>
      </w:pPr>
      <w:r w:rsidRPr="00FA7F56">
        <w:rPr>
          <w:sz w:val="28"/>
          <w:szCs w:val="28"/>
        </w:rPr>
        <w:t>Denise Gitsham</w:t>
      </w:r>
      <w:r w:rsidR="00AD7D2E">
        <w:rPr>
          <w:sz w:val="28"/>
          <w:szCs w:val="28"/>
        </w:rPr>
        <w:t xml:space="preserve">, </w:t>
      </w:r>
      <w:r w:rsidRPr="00FA7F56">
        <w:rPr>
          <w:sz w:val="28"/>
          <w:szCs w:val="28"/>
        </w:rPr>
        <w:t xml:space="preserve">Director </w:t>
      </w:r>
      <w:r w:rsidR="00AD7D2E">
        <w:rPr>
          <w:sz w:val="28"/>
          <w:szCs w:val="28"/>
        </w:rPr>
        <w:t xml:space="preserve">of </w:t>
      </w:r>
      <w:r w:rsidRPr="00FA7F56">
        <w:rPr>
          <w:sz w:val="28"/>
          <w:szCs w:val="28"/>
        </w:rPr>
        <w:t>Corporate Affairs and Legislative Counsel</w:t>
      </w:r>
    </w:p>
    <w:p w:rsidR="000D6154" w:rsidRDefault="00AD7D2E" w:rsidP="00AD7D2E">
      <w:pPr>
        <w:pStyle w:val="BlockText"/>
        <w:jc w:val="center"/>
        <w:rPr>
          <w:sz w:val="28"/>
          <w:szCs w:val="28"/>
        </w:rPr>
      </w:pPr>
      <w:r>
        <w:rPr>
          <w:sz w:val="28"/>
          <w:szCs w:val="28"/>
        </w:rPr>
        <w:t>Sapphire Energy, Inc.</w:t>
      </w:r>
    </w:p>
    <w:p w:rsidR="00421416" w:rsidRPr="00FA7F56" w:rsidRDefault="00421416" w:rsidP="00AD7D2E">
      <w:pPr>
        <w:pStyle w:val="BlockTex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Behalf of the Advanced </w:t>
      </w:r>
      <w:proofErr w:type="spellStart"/>
      <w:r>
        <w:rPr>
          <w:sz w:val="28"/>
          <w:szCs w:val="28"/>
        </w:rPr>
        <w:t>Biofuels</w:t>
      </w:r>
      <w:proofErr w:type="spellEnd"/>
      <w:r>
        <w:rPr>
          <w:sz w:val="28"/>
          <w:szCs w:val="28"/>
        </w:rPr>
        <w:t xml:space="preserve"> Association</w:t>
      </w:r>
    </w:p>
    <w:p w:rsidR="000D6154" w:rsidRPr="00FA7F56" w:rsidRDefault="000D6154" w:rsidP="00AD4F27">
      <w:pPr>
        <w:pStyle w:val="BlockText"/>
        <w:rPr>
          <w:sz w:val="28"/>
          <w:szCs w:val="28"/>
        </w:rPr>
      </w:pPr>
    </w:p>
    <w:p w:rsidR="000D6154" w:rsidRPr="00FA7F56" w:rsidRDefault="00FB73A7" w:rsidP="00AD4F27">
      <w:pPr>
        <w:pStyle w:val="BlockText"/>
        <w:rPr>
          <w:sz w:val="28"/>
          <w:szCs w:val="28"/>
        </w:rPr>
      </w:pPr>
      <w:r>
        <w:rPr>
          <w:sz w:val="28"/>
          <w:szCs w:val="28"/>
        </w:rPr>
        <w:t xml:space="preserve">Chairman </w:t>
      </w:r>
      <w:proofErr w:type="spellStart"/>
      <w:r>
        <w:rPr>
          <w:sz w:val="28"/>
          <w:szCs w:val="28"/>
        </w:rPr>
        <w:t>DeSaulnier</w:t>
      </w:r>
      <w:proofErr w:type="spellEnd"/>
      <w:r>
        <w:rPr>
          <w:sz w:val="28"/>
          <w:szCs w:val="28"/>
        </w:rPr>
        <w:t xml:space="preserve"> and </w:t>
      </w:r>
      <w:r w:rsidR="00E91183">
        <w:rPr>
          <w:sz w:val="28"/>
          <w:szCs w:val="28"/>
        </w:rPr>
        <w:t>M</w:t>
      </w:r>
      <w:r w:rsidR="00E42885" w:rsidRPr="00FA7F56">
        <w:rPr>
          <w:sz w:val="28"/>
          <w:szCs w:val="28"/>
        </w:rPr>
        <w:t xml:space="preserve">embers of the Committee, I am </w:t>
      </w:r>
      <w:r w:rsidR="000D6154" w:rsidRPr="00FA7F56">
        <w:rPr>
          <w:sz w:val="28"/>
          <w:szCs w:val="28"/>
        </w:rPr>
        <w:t>Denise Gitsham, Dir</w:t>
      </w:r>
      <w:r w:rsidR="00E42885" w:rsidRPr="00FA7F56">
        <w:rPr>
          <w:sz w:val="28"/>
          <w:szCs w:val="28"/>
        </w:rPr>
        <w:t>ector of Corporate Affairs and Legislative C</w:t>
      </w:r>
      <w:r w:rsidR="000D6154" w:rsidRPr="00FA7F56">
        <w:rPr>
          <w:sz w:val="28"/>
          <w:szCs w:val="28"/>
        </w:rPr>
        <w:t>ounsel for Sapphire Energy</w:t>
      </w:r>
      <w:r w:rsidR="006747CB">
        <w:rPr>
          <w:sz w:val="28"/>
          <w:szCs w:val="28"/>
        </w:rPr>
        <w:t>, headquartered in San Diego</w:t>
      </w:r>
      <w:r w:rsidR="00E42885" w:rsidRPr="00FA7F56">
        <w:rPr>
          <w:sz w:val="28"/>
          <w:szCs w:val="28"/>
        </w:rPr>
        <w:t xml:space="preserve">.  </w:t>
      </w:r>
      <w:r w:rsidR="000D6154" w:rsidRPr="00FA7F56">
        <w:rPr>
          <w:sz w:val="28"/>
          <w:szCs w:val="28"/>
        </w:rPr>
        <w:t xml:space="preserve">I am testifying </w:t>
      </w:r>
      <w:r w:rsidR="00E42885" w:rsidRPr="00FA7F56">
        <w:rPr>
          <w:sz w:val="28"/>
          <w:szCs w:val="28"/>
        </w:rPr>
        <w:t xml:space="preserve">today </w:t>
      </w:r>
      <w:r w:rsidR="000D6154" w:rsidRPr="00FA7F56">
        <w:rPr>
          <w:sz w:val="28"/>
          <w:szCs w:val="28"/>
        </w:rPr>
        <w:t>on behalf of the Advanced Biofuels Association.  Thank you for</w:t>
      </w:r>
      <w:r w:rsidR="006747CB">
        <w:rPr>
          <w:sz w:val="28"/>
          <w:szCs w:val="28"/>
        </w:rPr>
        <w:t xml:space="preserve"> the opportunity to discuss the role </w:t>
      </w:r>
      <w:r w:rsidR="00E42885" w:rsidRPr="00FA7F56">
        <w:rPr>
          <w:sz w:val="28"/>
          <w:szCs w:val="28"/>
        </w:rPr>
        <w:t xml:space="preserve">advanced </w:t>
      </w:r>
      <w:proofErr w:type="spellStart"/>
      <w:r w:rsidR="00E42885" w:rsidRPr="00FA7F56">
        <w:rPr>
          <w:sz w:val="28"/>
          <w:szCs w:val="28"/>
        </w:rPr>
        <w:t>biofuels</w:t>
      </w:r>
      <w:proofErr w:type="spellEnd"/>
      <w:r w:rsidR="00E42885" w:rsidRPr="00FA7F56">
        <w:rPr>
          <w:sz w:val="28"/>
          <w:szCs w:val="28"/>
        </w:rPr>
        <w:t xml:space="preserve"> will play in helping the State of California meet the</w:t>
      </w:r>
      <w:r w:rsidR="000D6154" w:rsidRPr="00FA7F56">
        <w:rPr>
          <w:sz w:val="28"/>
          <w:szCs w:val="28"/>
        </w:rPr>
        <w:t xml:space="preserve"> goals of AB 32.  </w:t>
      </w:r>
    </w:p>
    <w:p w:rsidR="000D6154" w:rsidRPr="00FA7F56" w:rsidRDefault="000D6154" w:rsidP="00AD4F27">
      <w:pPr>
        <w:pStyle w:val="BlockText"/>
        <w:rPr>
          <w:sz w:val="28"/>
          <w:szCs w:val="28"/>
        </w:rPr>
      </w:pPr>
      <w:r w:rsidRPr="00FA7F56">
        <w:rPr>
          <w:sz w:val="28"/>
          <w:szCs w:val="28"/>
        </w:rPr>
        <w:t>Th</w:t>
      </w:r>
      <w:r w:rsidR="00E42885" w:rsidRPr="00FA7F56">
        <w:rPr>
          <w:sz w:val="28"/>
          <w:szCs w:val="28"/>
        </w:rPr>
        <w:t>e Advanced Biofuels Association, commonly referred to as the ABFA, is a national trade a</w:t>
      </w:r>
      <w:r w:rsidRPr="00FA7F56">
        <w:rPr>
          <w:sz w:val="28"/>
          <w:szCs w:val="28"/>
        </w:rPr>
        <w:t>ssociation located in Washington DC</w:t>
      </w:r>
      <w:r w:rsidR="00E42885" w:rsidRPr="00FA7F56">
        <w:rPr>
          <w:sz w:val="28"/>
          <w:szCs w:val="28"/>
        </w:rPr>
        <w:t>,</w:t>
      </w:r>
      <w:r w:rsidRPr="00FA7F56">
        <w:rPr>
          <w:sz w:val="28"/>
          <w:szCs w:val="28"/>
        </w:rPr>
        <w:t xml:space="preserve"> </w:t>
      </w:r>
      <w:r w:rsidR="00E42885" w:rsidRPr="00FA7F56">
        <w:rPr>
          <w:sz w:val="28"/>
          <w:szCs w:val="28"/>
        </w:rPr>
        <w:t>representing</w:t>
      </w:r>
      <w:r w:rsidR="00D13779" w:rsidRPr="00FA7F56">
        <w:rPr>
          <w:sz w:val="28"/>
          <w:szCs w:val="28"/>
        </w:rPr>
        <w:t xml:space="preserve"> 39 </w:t>
      </w:r>
      <w:r w:rsidR="006747CB">
        <w:rPr>
          <w:sz w:val="28"/>
          <w:szCs w:val="28"/>
        </w:rPr>
        <w:t xml:space="preserve">of our nation’s most promising </w:t>
      </w:r>
      <w:r w:rsidR="00D13779" w:rsidRPr="00FA7F56">
        <w:rPr>
          <w:sz w:val="28"/>
          <w:szCs w:val="28"/>
        </w:rPr>
        <w:t xml:space="preserve">advanced </w:t>
      </w:r>
      <w:proofErr w:type="spellStart"/>
      <w:r w:rsidR="00D13779" w:rsidRPr="00FA7F56">
        <w:rPr>
          <w:sz w:val="28"/>
          <w:szCs w:val="28"/>
        </w:rPr>
        <w:t>biofuels</w:t>
      </w:r>
      <w:proofErr w:type="spellEnd"/>
      <w:r w:rsidR="00D13779" w:rsidRPr="00FA7F56">
        <w:rPr>
          <w:sz w:val="28"/>
          <w:szCs w:val="28"/>
        </w:rPr>
        <w:t xml:space="preserve"> companies.  </w:t>
      </w:r>
      <w:r w:rsidR="00E42885" w:rsidRPr="00FA7F56">
        <w:rPr>
          <w:sz w:val="28"/>
          <w:szCs w:val="28"/>
        </w:rPr>
        <w:t>Our membership</w:t>
      </w:r>
      <w:r w:rsidR="001D4B3B" w:rsidRPr="00FA7F56">
        <w:rPr>
          <w:sz w:val="28"/>
          <w:szCs w:val="28"/>
        </w:rPr>
        <w:t xml:space="preserve"> </w:t>
      </w:r>
      <w:r w:rsidR="00D13779" w:rsidRPr="00FA7F56">
        <w:rPr>
          <w:sz w:val="28"/>
          <w:szCs w:val="28"/>
        </w:rPr>
        <w:t>spans a wide var</w:t>
      </w:r>
      <w:r w:rsidR="00E42885" w:rsidRPr="00FA7F56">
        <w:rPr>
          <w:sz w:val="28"/>
          <w:szCs w:val="28"/>
        </w:rPr>
        <w:t>iety of platform technologies</w:t>
      </w:r>
      <w:r w:rsidR="006747CB">
        <w:rPr>
          <w:sz w:val="28"/>
          <w:szCs w:val="28"/>
        </w:rPr>
        <w:t>, from synthetic bi</w:t>
      </w:r>
      <w:r w:rsidR="00E3744D">
        <w:rPr>
          <w:sz w:val="28"/>
          <w:szCs w:val="28"/>
        </w:rPr>
        <w:t>ology</w:t>
      </w:r>
      <w:r w:rsidR="006747CB">
        <w:rPr>
          <w:sz w:val="28"/>
          <w:szCs w:val="28"/>
        </w:rPr>
        <w:t xml:space="preserve">, </w:t>
      </w:r>
      <w:r w:rsidR="00E3744D">
        <w:rPr>
          <w:sz w:val="28"/>
          <w:szCs w:val="28"/>
        </w:rPr>
        <w:t xml:space="preserve">to </w:t>
      </w:r>
      <w:r w:rsidR="006747CB">
        <w:rPr>
          <w:sz w:val="28"/>
          <w:szCs w:val="28"/>
        </w:rPr>
        <w:t xml:space="preserve">biomass to liquids, </w:t>
      </w:r>
      <w:r w:rsidR="00E3744D">
        <w:rPr>
          <w:sz w:val="28"/>
          <w:szCs w:val="28"/>
        </w:rPr>
        <w:t xml:space="preserve">to cellulosic </w:t>
      </w:r>
      <w:proofErr w:type="spellStart"/>
      <w:r w:rsidR="00E3744D">
        <w:rPr>
          <w:sz w:val="28"/>
          <w:szCs w:val="28"/>
        </w:rPr>
        <w:t>biofuels</w:t>
      </w:r>
      <w:proofErr w:type="spellEnd"/>
      <w:r w:rsidR="00E3744D">
        <w:rPr>
          <w:sz w:val="28"/>
          <w:szCs w:val="28"/>
        </w:rPr>
        <w:t>, and</w:t>
      </w:r>
      <w:r w:rsidR="006747CB">
        <w:rPr>
          <w:sz w:val="28"/>
          <w:szCs w:val="28"/>
        </w:rPr>
        <w:t xml:space="preserve"> my personal favorite, algae</w:t>
      </w:r>
      <w:r w:rsidR="00E3744D">
        <w:rPr>
          <w:sz w:val="28"/>
          <w:szCs w:val="28"/>
        </w:rPr>
        <w:t>-based drop-in fuels</w:t>
      </w:r>
      <w:r w:rsidR="006747CB">
        <w:rPr>
          <w:sz w:val="28"/>
          <w:szCs w:val="28"/>
        </w:rPr>
        <w:t xml:space="preserve">.  </w:t>
      </w:r>
      <w:r w:rsidR="00E3744D">
        <w:rPr>
          <w:sz w:val="28"/>
          <w:szCs w:val="28"/>
        </w:rPr>
        <w:t xml:space="preserve">A quarter of our membership consists of </w:t>
      </w:r>
      <w:r w:rsidR="006747CB">
        <w:rPr>
          <w:sz w:val="28"/>
          <w:szCs w:val="28"/>
        </w:rPr>
        <w:t>California-based companies</w:t>
      </w:r>
      <w:r w:rsidR="00E3744D">
        <w:rPr>
          <w:sz w:val="28"/>
          <w:szCs w:val="28"/>
        </w:rPr>
        <w:t>, including</w:t>
      </w:r>
      <w:r w:rsidR="006747CB">
        <w:rPr>
          <w:sz w:val="28"/>
          <w:szCs w:val="28"/>
        </w:rPr>
        <w:t xml:space="preserve"> </w:t>
      </w:r>
      <w:proofErr w:type="spellStart"/>
      <w:r w:rsidR="009E4742">
        <w:rPr>
          <w:sz w:val="28"/>
          <w:szCs w:val="28"/>
        </w:rPr>
        <w:t>Amyris</w:t>
      </w:r>
      <w:proofErr w:type="spellEnd"/>
      <w:r w:rsidR="009E4742">
        <w:rPr>
          <w:sz w:val="28"/>
          <w:szCs w:val="28"/>
        </w:rPr>
        <w:t xml:space="preserve">, </w:t>
      </w:r>
      <w:r w:rsidR="006747CB">
        <w:rPr>
          <w:sz w:val="28"/>
          <w:szCs w:val="28"/>
        </w:rPr>
        <w:t xml:space="preserve">LS9, </w:t>
      </w:r>
      <w:proofErr w:type="spellStart"/>
      <w:r w:rsidR="006747CB">
        <w:rPr>
          <w:sz w:val="28"/>
          <w:szCs w:val="28"/>
        </w:rPr>
        <w:t>Solazyme</w:t>
      </w:r>
      <w:proofErr w:type="spellEnd"/>
      <w:r w:rsidR="006747CB">
        <w:rPr>
          <w:sz w:val="28"/>
          <w:szCs w:val="28"/>
        </w:rPr>
        <w:t>, and Sapphire</w:t>
      </w:r>
      <w:r w:rsidR="00E3744D">
        <w:rPr>
          <w:sz w:val="28"/>
          <w:szCs w:val="28"/>
        </w:rPr>
        <w:t xml:space="preserve">, to name a few.  </w:t>
      </w:r>
      <w:r w:rsidR="00AC655A">
        <w:rPr>
          <w:sz w:val="28"/>
          <w:szCs w:val="28"/>
        </w:rPr>
        <w:t>C</w:t>
      </w:r>
      <w:r w:rsidR="00E42885" w:rsidRPr="00FA7F56">
        <w:rPr>
          <w:sz w:val="28"/>
          <w:szCs w:val="28"/>
        </w:rPr>
        <w:t xml:space="preserve">onsequently, California’s </w:t>
      </w:r>
      <w:r w:rsidR="00C84FAF">
        <w:rPr>
          <w:sz w:val="28"/>
          <w:szCs w:val="28"/>
        </w:rPr>
        <w:t xml:space="preserve">policies regarding </w:t>
      </w:r>
      <w:r w:rsidR="00E42885" w:rsidRPr="00FA7F56">
        <w:rPr>
          <w:sz w:val="28"/>
          <w:szCs w:val="28"/>
        </w:rPr>
        <w:t>carbon intensity</w:t>
      </w:r>
      <w:r w:rsidR="00C84FAF">
        <w:rPr>
          <w:sz w:val="28"/>
          <w:szCs w:val="28"/>
        </w:rPr>
        <w:t xml:space="preserve"> values </w:t>
      </w:r>
      <w:r w:rsidR="00E42885" w:rsidRPr="00FA7F56">
        <w:rPr>
          <w:sz w:val="28"/>
          <w:szCs w:val="28"/>
        </w:rPr>
        <w:t>and the Low Carbon Fuel Standard</w:t>
      </w:r>
      <w:r w:rsidR="00C84FAF">
        <w:rPr>
          <w:sz w:val="28"/>
          <w:szCs w:val="28"/>
        </w:rPr>
        <w:t xml:space="preserve"> </w:t>
      </w:r>
      <w:r w:rsidR="00E42885" w:rsidRPr="00FA7F56">
        <w:rPr>
          <w:sz w:val="28"/>
          <w:szCs w:val="28"/>
        </w:rPr>
        <w:t xml:space="preserve">are </w:t>
      </w:r>
      <w:r w:rsidR="006747CB">
        <w:rPr>
          <w:sz w:val="28"/>
          <w:szCs w:val="28"/>
        </w:rPr>
        <w:t>important to our members</w:t>
      </w:r>
      <w:r w:rsidR="00E42885" w:rsidRPr="00FA7F56">
        <w:rPr>
          <w:sz w:val="28"/>
          <w:szCs w:val="28"/>
        </w:rPr>
        <w:t>, either because</w:t>
      </w:r>
      <w:r w:rsidR="00C84FAF">
        <w:rPr>
          <w:sz w:val="28"/>
          <w:szCs w:val="28"/>
        </w:rPr>
        <w:t xml:space="preserve"> they are located in the state, </w:t>
      </w:r>
      <w:r w:rsidR="00E42885" w:rsidRPr="00FA7F56">
        <w:rPr>
          <w:sz w:val="28"/>
          <w:szCs w:val="28"/>
        </w:rPr>
        <w:t>or b</w:t>
      </w:r>
      <w:r w:rsidR="00F04437" w:rsidRPr="00FA7F56">
        <w:rPr>
          <w:sz w:val="28"/>
          <w:szCs w:val="28"/>
        </w:rPr>
        <w:t xml:space="preserve">ecause of California’s </w:t>
      </w:r>
      <w:r w:rsidR="006747CB">
        <w:rPr>
          <w:sz w:val="28"/>
          <w:szCs w:val="28"/>
        </w:rPr>
        <w:t xml:space="preserve">significant </w:t>
      </w:r>
      <w:r w:rsidR="00F04437" w:rsidRPr="00FA7F56">
        <w:rPr>
          <w:sz w:val="28"/>
          <w:szCs w:val="28"/>
        </w:rPr>
        <w:t xml:space="preserve">influence on </w:t>
      </w:r>
      <w:r w:rsidR="00C84FAF">
        <w:rPr>
          <w:sz w:val="28"/>
          <w:szCs w:val="28"/>
        </w:rPr>
        <w:t>federal</w:t>
      </w:r>
      <w:r w:rsidR="006747CB">
        <w:rPr>
          <w:sz w:val="28"/>
          <w:szCs w:val="28"/>
        </w:rPr>
        <w:t xml:space="preserve"> </w:t>
      </w:r>
      <w:r w:rsidR="00F04437" w:rsidRPr="00FA7F56">
        <w:rPr>
          <w:sz w:val="28"/>
          <w:szCs w:val="28"/>
        </w:rPr>
        <w:t xml:space="preserve">energy and environmental policies. </w:t>
      </w:r>
    </w:p>
    <w:p w:rsidR="004C53FA" w:rsidRPr="00FA7F56" w:rsidRDefault="004C53FA" w:rsidP="004C53FA">
      <w:pPr>
        <w:pStyle w:val="BlockText"/>
        <w:rPr>
          <w:sz w:val="28"/>
          <w:szCs w:val="28"/>
        </w:rPr>
      </w:pPr>
      <w:r w:rsidRPr="00FA7F56">
        <w:rPr>
          <w:sz w:val="28"/>
          <w:szCs w:val="28"/>
        </w:rPr>
        <w:t>AB32 has set bold and aggres</w:t>
      </w:r>
      <w:r w:rsidR="00E3744D">
        <w:rPr>
          <w:sz w:val="28"/>
          <w:szCs w:val="28"/>
        </w:rPr>
        <w:t xml:space="preserve">sive GHG emissions reduction targets for the transportation fuels industry, </w:t>
      </w:r>
      <w:r w:rsidRPr="00FA7F56">
        <w:rPr>
          <w:sz w:val="28"/>
          <w:szCs w:val="28"/>
        </w:rPr>
        <w:t xml:space="preserve">which we all strive to meet and exceed.  </w:t>
      </w:r>
      <w:r w:rsidR="00C60A1E">
        <w:rPr>
          <w:sz w:val="28"/>
          <w:szCs w:val="28"/>
        </w:rPr>
        <w:t xml:space="preserve">The Federal Government </w:t>
      </w:r>
      <w:r w:rsidR="00E3744D">
        <w:rPr>
          <w:sz w:val="28"/>
          <w:szCs w:val="28"/>
        </w:rPr>
        <w:t>and other states have</w:t>
      </w:r>
      <w:r w:rsidR="00C60A1E">
        <w:rPr>
          <w:sz w:val="28"/>
          <w:szCs w:val="28"/>
        </w:rPr>
        <w:t xml:space="preserve"> looked to California </w:t>
      </w:r>
      <w:r w:rsidR="00E3744D">
        <w:rPr>
          <w:sz w:val="28"/>
          <w:szCs w:val="28"/>
        </w:rPr>
        <w:t>for leadership in developing</w:t>
      </w:r>
      <w:r w:rsidR="00C60A1E">
        <w:rPr>
          <w:sz w:val="28"/>
          <w:szCs w:val="28"/>
        </w:rPr>
        <w:t xml:space="preserve"> environme</w:t>
      </w:r>
      <w:r w:rsidR="00E3744D">
        <w:rPr>
          <w:sz w:val="28"/>
          <w:szCs w:val="28"/>
        </w:rPr>
        <w:t>ntal and energy policies</w:t>
      </w:r>
      <w:r w:rsidR="00C60A1E">
        <w:rPr>
          <w:sz w:val="28"/>
          <w:szCs w:val="28"/>
        </w:rPr>
        <w:t xml:space="preserve">.  </w:t>
      </w:r>
      <w:r w:rsidR="00E3744D">
        <w:rPr>
          <w:sz w:val="28"/>
          <w:szCs w:val="28"/>
        </w:rPr>
        <w:t>AB32</w:t>
      </w:r>
      <w:r w:rsidR="00AF3F55">
        <w:rPr>
          <w:sz w:val="28"/>
          <w:szCs w:val="28"/>
        </w:rPr>
        <w:t xml:space="preserve"> strengthens</w:t>
      </w:r>
      <w:r w:rsidR="00C60A1E">
        <w:rPr>
          <w:sz w:val="28"/>
          <w:szCs w:val="28"/>
        </w:rPr>
        <w:t xml:space="preserve"> </w:t>
      </w:r>
      <w:r w:rsidRPr="00FA7F56">
        <w:rPr>
          <w:sz w:val="28"/>
          <w:szCs w:val="28"/>
        </w:rPr>
        <w:t>Californi</w:t>
      </w:r>
      <w:r w:rsidR="00275D31" w:rsidRPr="00FA7F56">
        <w:rPr>
          <w:sz w:val="28"/>
          <w:szCs w:val="28"/>
        </w:rPr>
        <w:t>a</w:t>
      </w:r>
      <w:r w:rsidR="00E3744D">
        <w:rPr>
          <w:sz w:val="28"/>
          <w:szCs w:val="28"/>
        </w:rPr>
        <w:t>'s legacy in this realm</w:t>
      </w:r>
      <w:r w:rsidR="00275D31" w:rsidRPr="00FA7F56">
        <w:rPr>
          <w:sz w:val="28"/>
          <w:szCs w:val="28"/>
        </w:rPr>
        <w:t>.</w:t>
      </w:r>
      <w:r w:rsidRPr="00FA7F56">
        <w:rPr>
          <w:sz w:val="28"/>
          <w:szCs w:val="28"/>
        </w:rPr>
        <w:t xml:space="preserve"> </w:t>
      </w:r>
    </w:p>
    <w:p w:rsidR="00853C9B" w:rsidRPr="00D6131F" w:rsidRDefault="005978C5" w:rsidP="00853C9B">
      <w:pPr>
        <w:pStyle w:val="BlockText"/>
        <w:rPr>
          <w:sz w:val="28"/>
          <w:szCs w:val="28"/>
        </w:rPr>
      </w:pPr>
      <w:r>
        <w:rPr>
          <w:sz w:val="28"/>
          <w:szCs w:val="28"/>
        </w:rPr>
        <w:t xml:space="preserve">However, the ABFA </w:t>
      </w:r>
      <w:r w:rsidR="00E3744D">
        <w:rPr>
          <w:sz w:val="28"/>
          <w:szCs w:val="28"/>
        </w:rPr>
        <w:t>do</w:t>
      </w:r>
      <w:r>
        <w:rPr>
          <w:sz w:val="28"/>
          <w:szCs w:val="28"/>
        </w:rPr>
        <w:t>es</w:t>
      </w:r>
      <w:r w:rsidR="00853C9B">
        <w:rPr>
          <w:sz w:val="28"/>
          <w:szCs w:val="28"/>
        </w:rPr>
        <w:t xml:space="preserve"> have concerns </w:t>
      </w:r>
      <w:r w:rsidR="00C84FAF">
        <w:rPr>
          <w:sz w:val="28"/>
          <w:szCs w:val="28"/>
        </w:rPr>
        <w:t xml:space="preserve">regarding certain elements </w:t>
      </w:r>
      <w:r w:rsidR="00AF3F55">
        <w:rPr>
          <w:sz w:val="28"/>
          <w:szCs w:val="28"/>
        </w:rPr>
        <w:t>of AB32’s implementation</w:t>
      </w:r>
      <w:r w:rsidR="00836549">
        <w:rPr>
          <w:sz w:val="28"/>
          <w:szCs w:val="28"/>
        </w:rPr>
        <w:t xml:space="preserve">.  </w:t>
      </w:r>
      <w:r w:rsidR="00FB73A7">
        <w:rPr>
          <w:sz w:val="28"/>
          <w:szCs w:val="28"/>
        </w:rPr>
        <w:t>Specifically</w:t>
      </w:r>
      <w:r>
        <w:rPr>
          <w:sz w:val="28"/>
          <w:szCs w:val="28"/>
        </w:rPr>
        <w:t>, California’s</w:t>
      </w:r>
      <w:r w:rsidR="00853C9B">
        <w:rPr>
          <w:sz w:val="28"/>
          <w:szCs w:val="28"/>
        </w:rPr>
        <w:t xml:space="preserve"> protracted technical discussion</w:t>
      </w:r>
      <w:r w:rsidR="00AF3F55">
        <w:rPr>
          <w:sz w:val="28"/>
          <w:szCs w:val="28"/>
        </w:rPr>
        <w:t>s</w:t>
      </w:r>
      <w:r w:rsidR="00853C9B">
        <w:rPr>
          <w:sz w:val="28"/>
          <w:szCs w:val="28"/>
        </w:rPr>
        <w:t xml:space="preserve"> </w:t>
      </w:r>
      <w:r w:rsidR="00836549">
        <w:rPr>
          <w:sz w:val="28"/>
          <w:szCs w:val="28"/>
        </w:rPr>
        <w:t>regarding</w:t>
      </w:r>
      <w:r w:rsidR="00853C9B">
        <w:rPr>
          <w:sz w:val="28"/>
          <w:szCs w:val="28"/>
        </w:rPr>
        <w:t xml:space="preserve"> modifications to lifecycle </w:t>
      </w:r>
      <w:r w:rsidR="00743991">
        <w:rPr>
          <w:sz w:val="28"/>
          <w:szCs w:val="28"/>
        </w:rPr>
        <w:t xml:space="preserve">carbon </w:t>
      </w:r>
      <w:r w:rsidR="00E24ACD">
        <w:rPr>
          <w:sz w:val="28"/>
          <w:szCs w:val="28"/>
        </w:rPr>
        <w:t>intensity values</w:t>
      </w:r>
      <w:r w:rsidR="00C84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</w:t>
      </w:r>
      <w:r w:rsidR="00853C9B">
        <w:rPr>
          <w:sz w:val="28"/>
          <w:szCs w:val="28"/>
        </w:rPr>
        <w:t>introduce</w:t>
      </w:r>
      <w:r w:rsidR="003E64F3">
        <w:rPr>
          <w:sz w:val="28"/>
          <w:szCs w:val="28"/>
        </w:rPr>
        <w:t>d</w:t>
      </w:r>
      <w:r w:rsidR="00853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crippling </w:t>
      </w:r>
      <w:r w:rsidR="00853C9B">
        <w:rPr>
          <w:sz w:val="28"/>
          <w:szCs w:val="28"/>
        </w:rPr>
        <w:t>uncertai</w:t>
      </w:r>
      <w:r w:rsidR="00836549">
        <w:rPr>
          <w:sz w:val="28"/>
          <w:szCs w:val="28"/>
        </w:rPr>
        <w:t>nty in</w:t>
      </w:r>
      <w:r w:rsidR="00C84FAF">
        <w:rPr>
          <w:sz w:val="28"/>
          <w:szCs w:val="28"/>
        </w:rPr>
        <w:t>to</w:t>
      </w:r>
      <w:r w:rsidR="00836549">
        <w:rPr>
          <w:sz w:val="28"/>
          <w:szCs w:val="28"/>
        </w:rPr>
        <w:t xml:space="preserve"> our industry.   </w:t>
      </w:r>
      <w:r w:rsidR="00FB73A7">
        <w:rPr>
          <w:sz w:val="28"/>
          <w:szCs w:val="28"/>
        </w:rPr>
        <w:t>This uncertainty limits the private investment we need in order to commercialize</w:t>
      </w:r>
      <w:r w:rsidR="00743991">
        <w:rPr>
          <w:sz w:val="28"/>
          <w:szCs w:val="28"/>
        </w:rPr>
        <w:t xml:space="preserve">.  </w:t>
      </w:r>
      <w:r w:rsidR="00AF3F55">
        <w:rPr>
          <w:sz w:val="28"/>
          <w:szCs w:val="28"/>
        </w:rPr>
        <w:t>Consequently,</w:t>
      </w:r>
      <w:r w:rsidR="00743991">
        <w:rPr>
          <w:sz w:val="28"/>
          <w:szCs w:val="28"/>
        </w:rPr>
        <w:t xml:space="preserve"> </w:t>
      </w:r>
      <w:r w:rsidR="00853C9B">
        <w:rPr>
          <w:sz w:val="28"/>
          <w:szCs w:val="28"/>
        </w:rPr>
        <w:t xml:space="preserve">we urge you to establish mechanisms to stabilize the LCFS compliance </w:t>
      </w:r>
      <w:r w:rsidR="00853C9B" w:rsidRPr="00D6131F">
        <w:rPr>
          <w:sz w:val="28"/>
          <w:szCs w:val="28"/>
        </w:rPr>
        <w:t xml:space="preserve">market. </w:t>
      </w:r>
      <w:r w:rsidR="008E4BD2" w:rsidRPr="00D6131F">
        <w:rPr>
          <w:sz w:val="28"/>
          <w:szCs w:val="28"/>
        </w:rPr>
        <w:t xml:space="preserve"> Such an approach could involve</w:t>
      </w:r>
      <w:r w:rsidR="00FB73A7">
        <w:rPr>
          <w:sz w:val="28"/>
          <w:szCs w:val="28"/>
        </w:rPr>
        <w:t>, for example</w:t>
      </w:r>
      <w:r w:rsidR="008E4BD2" w:rsidRPr="00D6131F">
        <w:rPr>
          <w:sz w:val="28"/>
          <w:szCs w:val="28"/>
        </w:rPr>
        <w:t>:</w:t>
      </w:r>
    </w:p>
    <w:p w:rsidR="00853C9B" w:rsidRPr="00D6131F" w:rsidRDefault="00853C9B" w:rsidP="00853C9B">
      <w:pPr>
        <w:pStyle w:val="BlockText"/>
        <w:tabs>
          <w:tab w:val="num" w:pos="720"/>
        </w:tabs>
        <w:ind w:left="720" w:hanging="360"/>
        <w:rPr>
          <w:sz w:val="28"/>
          <w:szCs w:val="28"/>
        </w:rPr>
      </w:pPr>
      <w:r w:rsidRPr="00D6131F">
        <w:rPr>
          <w:rFonts w:ascii="Symbol" w:eastAsia="Symbol" w:hAnsi="Symbol" w:cs="Symbol"/>
          <w:sz w:val="28"/>
          <w:szCs w:val="28"/>
        </w:rPr>
        <w:t></w:t>
      </w:r>
      <w:r w:rsidRPr="00D6131F">
        <w:rPr>
          <w:rFonts w:eastAsia="Symbol"/>
          <w:sz w:val="14"/>
          <w:szCs w:val="14"/>
        </w:rPr>
        <w:t xml:space="preserve">       </w:t>
      </w:r>
      <w:r w:rsidR="00FB73A7">
        <w:rPr>
          <w:sz w:val="28"/>
          <w:szCs w:val="28"/>
        </w:rPr>
        <w:t>Establishing a</w:t>
      </w:r>
      <w:r w:rsidR="00AF3F55" w:rsidRPr="00D6131F">
        <w:rPr>
          <w:sz w:val="28"/>
          <w:szCs w:val="28"/>
        </w:rPr>
        <w:t>lternative compliance m</w:t>
      </w:r>
      <w:r w:rsidRPr="00D6131F">
        <w:rPr>
          <w:sz w:val="28"/>
          <w:szCs w:val="28"/>
        </w:rPr>
        <w:t xml:space="preserve">echanisms that reward </w:t>
      </w:r>
      <w:r w:rsidR="00C32A95" w:rsidRPr="00D6131F">
        <w:rPr>
          <w:sz w:val="28"/>
          <w:szCs w:val="28"/>
        </w:rPr>
        <w:t>investments in q</w:t>
      </w:r>
      <w:r w:rsidR="00FB73A7">
        <w:rPr>
          <w:sz w:val="28"/>
          <w:szCs w:val="28"/>
        </w:rPr>
        <w:t>ualified</w:t>
      </w:r>
      <w:r w:rsidRPr="00D6131F">
        <w:rPr>
          <w:sz w:val="28"/>
          <w:szCs w:val="28"/>
        </w:rPr>
        <w:t xml:space="preserve"> </w:t>
      </w:r>
      <w:r w:rsidR="00C32A95" w:rsidRPr="00D6131F">
        <w:rPr>
          <w:sz w:val="28"/>
          <w:szCs w:val="28"/>
        </w:rPr>
        <w:t xml:space="preserve">low-carbon </w:t>
      </w:r>
      <w:r w:rsidRPr="00D6131F">
        <w:rPr>
          <w:sz w:val="28"/>
          <w:szCs w:val="28"/>
        </w:rPr>
        <w:t>advanced</w:t>
      </w:r>
      <w:r w:rsidR="00C32A95" w:rsidRPr="00D6131F">
        <w:rPr>
          <w:sz w:val="28"/>
          <w:szCs w:val="28"/>
        </w:rPr>
        <w:t xml:space="preserve"> </w:t>
      </w:r>
      <w:proofErr w:type="spellStart"/>
      <w:r w:rsidRPr="00D6131F">
        <w:rPr>
          <w:sz w:val="28"/>
          <w:szCs w:val="28"/>
        </w:rPr>
        <w:t>biofuel</w:t>
      </w:r>
      <w:proofErr w:type="spellEnd"/>
      <w:r w:rsidRPr="00D6131F">
        <w:rPr>
          <w:sz w:val="28"/>
          <w:szCs w:val="28"/>
        </w:rPr>
        <w:t xml:space="preserve"> </w:t>
      </w:r>
      <w:r w:rsidR="00C32A95" w:rsidRPr="00D6131F">
        <w:rPr>
          <w:sz w:val="28"/>
          <w:szCs w:val="28"/>
        </w:rPr>
        <w:t>projects</w:t>
      </w:r>
      <w:r w:rsidR="00E24ACD">
        <w:rPr>
          <w:sz w:val="28"/>
          <w:szCs w:val="28"/>
        </w:rPr>
        <w:t xml:space="preserve">, and </w:t>
      </w:r>
    </w:p>
    <w:p w:rsidR="00853C9B" w:rsidRDefault="00853C9B" w:rsidP="00853C9B">
      <w:pPr>
        <w:pStyle w:val="BlockText"/>
        <w:tabs>
          <w:tab w:val="num" w:pos="720"/>
        </w:tabs>
        <w:ind w:left="720" w:hanging="360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 w:rsidR="00AF3F55">
        <w:rPr>
          <w:sz w:val="28"/>
          <w:szCs w:val="28"/>
        </w:rPr>
        <w:t>Establishing g</w:t>
      </w:r>
      <w:r w:rsidR="00D6131F">
        <w:rPr>
          <w:sz w:val="28"/>
          <w:szCs w:val="28"/>
        </w:rPr>
        <w:t>randfather</w:t>
      </w:r>
      <w:r>
        <w:rPr>
          <w:sz w:val="28"/>
          <w:szCs w:val="28"/>
        </w:rPr>
        <w:t xml:space="preserve"> </w:t>
      </w:r>
      <w:r w:rsidR="00887951">
        <w:rPr>
          <w:sz w:val="28"/>
          <w:szCs w:val="28"/>
        </w:rPr>
        <w:t xml:space="preserve">or other </w:t>
      </w:r>
      <w:r>
        <w:rPr>
          <w:sz w:val="28"/>
          <w:szCs w:val="28"/>
        </w:rPr>
        <w:t>provisions</w:t>
      </w:r>
      <w:r w:rsidR="00AF3F55">
        <w:rPr>
          <w:sz w:val="28"/>
          <w:szCs w:val="28"/>
        </w:rPr>
        <w:t xml:space="preserve"> that protect a low carbon fuel’s</w:t>
      </w:r>
      <w:r>
        <w:rPr>
          <w:sz w:val="28"/>
          <w:szCs w:val="28"/>
        </w:rPr>
        <w:t xml:space="preserve"> carbon</w:t>
      </w:r>
      <w:r w:rsidR="00AF3F55">
        <w:rPr>
          <w:sz w:val="28"/>
          <w:szCs w:val="28"/>
        </w:rPr>
        <w:t xml:space="preserve"> intensity score </w:t>
      </w:r>
      <w:r>
        <w:rPr>
          <w:sz w:val="28"/>
          <w:szCs w:val="28"/>
        </w:rPr>
        <w:t>from the volatility of</w:t>
      </w:r>
      <w:r w:rsidR="00AF3F55">
        <w:rPr>
          <w:sz w:val="28"/>
          <w:szCs w:val="28"/>
        </w:rPr>
        <w:t xml:space="preserve"> ever-</w:t>
      </w:r>
      <w:r w:rsidR="008E4BD2">
        <w:rPr>
          <w:sz w:val="28"/>
          <w:szCs w:val="28"/>
        </w:rPr>
        <w:t>evolving academic models</w:t>
      </w:r>
    </w:p>
    <w:p w:rsidR="004C53FA" w:rsidRPr="00FA7F56" w:rsidRDefault="00853C9B" w:rsidP="00AD4F27">
      <w:pPr>
        <w:pStyle w:val="BlockText"/>
        <w:rPr>
          <w:sz w:val="28"/>
          <w:szCs w:val="28"/>
        </w:rPr>
      </w:pPr>
      <w:r>
        <w:rPr>
          <w:sz w:val="28"/>
          <w:szCs w:val="28"/>
        </w:rPr>
        <w:t xml:space="preserve">We also ask that all transportation fuel technologies – including advanced biofuels – be </w:t>
      </w:r>
      <w:r w:rsidR="00C84FAF">
        <w:rPr>
          <w:sz w:val="28"/>
          <w:szCs w:val="28"/>
        </w:rPr>
        <w:t>assessed similarly for their environmental impact.</w:t>
      </w:r>
      <w:r>
        <w:rPr>
          <w:sz w:val="28"/>
          <w:szCs w:val="28"/>
        </w:rPr>
        <w:t xml:space="preserve">  Currently</w:t>
      </w:r>
      <w:r w:rsidR="002D2686">
        <w:rPr>
          <w:sz w:val="28"/>
          <w:szCs w:val="28"/>
        </w:rPr>
        <w:t>,</w:t>
      </w:r>
      <w:r>
        <w:rPr>
          <w:sz w:val="28"/>
          <w:szCs w:val="28"/>
        </w:rPr>
        <w:t xml:space="preserve"> the LCFS </w:t>
      </w:r>
      <w:r w:rsidR="00887951">
        <w:rPr>
          <w:sz w:val="28"/>
          <w:szCs w:val="28"/>
        </w:rPr>
        <w:t>only assigns</w:t>
      </w:r>
      <w:r>
        <w:rPr>
          <w:sz w:val="28"/>
          <w:szCs w:val="28"/>
        </w:rPr>
        <w:t xml:space="preserve"> indirect </w:t>
      </w:r>
      <w:r w:rsidR="002D2686">
        <w:rPr>
          <w:sz w:val="28"/>
          <w:szCs w:val="28"/>
        </w:rPr>
        <w:t xml:space="preserve">land use </w:t>
      </w:r>
      <w:r>
        <w:rPr>
          <w:sz w:val="28"/>
          <w:szCs w:val="28"/>
        </w:rPr>
        <w:t xml:space="preserve">effects </w:t>
      </w:r>
      <w:r w:rsidR="00CE057C">
        <w:rPr>
          <w:sz w:val="28"/>
          <w:szCs w:val="28"/>
        </w:rPr>
        <w:t xml:space="preserve">for </w:t>
      </w:r>
      <w:proofErr w:type="spellStart"/>
      <w:r w:rsidR="00CE057C">
        <w:rPr>
          <w:sz w:val="28"/>
          <w:szCs w:val="28"/>
        </w:rPr>
        <w:t>biofuels</w:t>
      </w:r>
      <w:proofErr w:type="spellEnd"/>
      <w:r w:rsidR="00CE057C">
        <w:rPr>
          <w:sz w:val="28"/>
          <w:szCs w:val="28"/>
        </w:rPr>
        <w:t>.</w:t>
      </w:r>
      <w:r w:rsidR="00887951">
        <w:rPr>
          <w:sz w:val="28"/>
          <w:szCs w:val="28"/>
        </w:rPr>
        <w:t xml:space="preserve"> </w:t>
      </w:r>
      <w:r w:rsidR="00CE057C">
        <w:rPr>
          <w:sz w:val="28"/>
          <w:szCs w:val="28"/>
        </w:rPr>
        <w:t xml:space="preserve"> Additionally,</w:t>
      </w:r>
      <w:r w:rsidR="00887951">
        <w:rPr>
          <w:sz w:val="28"/>
          <w:szCs w:val="28"/>
        </w:rPr>
        <w:t xml:space="preserve"> CARB is assessing </w:t>
      </w:r>
      <w:r>
        <w:rPr>
          <w:sz w:val="28"/>
          <w:szCs w:val="28"/>
        </w:rPr>
        <w:t>susta</w:t>
      </w:r>
      <w:r w:rsidR="00AF3F55">
        <w:rPr>
          <w:sz w:val="28"/>
          <w:szCs w:val="28"/>
        </w:rPr>
        <w:t xml:space="preserve">inability reporting criteria </w:t>
      </w:r>
      <w:r w:rsidR="00C84FAF">
        <w:rPr>
          <w:sz w:val="28"/>
          <w:szCs w:val="28"/>
        </w:rPr>
        <w:t xml:space="preserve">that </w:t>
      </w:r>
      <w:r w:rsidR="00887951">
        <w:rPr>
          <w:sz w:val="28"/>
          <w:szCs w:val="28"/>
        </w:rPr>
        <w:t xml:space="preserve">would </w:t>
      </w:r>
      <w:r w:rsidR="00C84FAF">
        <w:rPr>
          <w:sz w:val="28"/>
          <w:szCs w:val="28"/>
        </w:rPr>
        <w:t xml:space="preserve">apply </w:t>
      </w:r>
      <w:r w:rsidR="00CE057C">
        <w:rPr>
          <w:sz w:val="28"/>
          <w:szCs w:val="28"/>
        </w:rPr>
        <w:t>primarily</w:t>
      </w:r>
      <w:r w:rsidR="00C84FAF">
        <w:rPr>
          <w:sz w:val="28"/>
          <w:szCs w:val="28"/>
        </w:rPr>
        <w:t xml:space="preserve"> to the</w:t>
      </w:r>
      <w:r w:rsidR="00AF3F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biofuels</w:t>
      </w:r>
      <w:proofErr w:type="spellEnd"/>
      <w:r w:rsidR="00AF3F55">
        <w:rPr>
          <w:sz w:val="28"/>
          <w:szCs w:val="28"/>
        </w:rPr>
        <w:t xml:space="preserve"> industry.  Neither of these elements </w:t>
      </w:r>
      <w:proofErr w:type="gramStart"/>
      <w:r w:rsidR="00AF3F55">
        <w:rPr>
          <w:sz w:val="28"/>
          <w:szCs w:val="28"/>
        </w:rPr>
        <w:t>have</w:t>
      </w:r>
      <w:proofErr w:type="gramEnd"/>
      <w:r w:rsidR="00AF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been meaningfully evaluated for </w:t>
      </w:r>
      <w:r w:rsidR="00AF3F55">
        <w:rPr>
          <w:sz w:val="28"/>
          <w:szCs w:val="28"/>
        </w:rPr>
        <w:t xml:space="preserve">their potential application to </w:t>
      </w:r>
      <w:r>
        <w:rPr>
          <w:sz w:val="28"/>
          <w:szCs w:val="28"/>
        </w:rPr>
        <w:t xml:space="preserve">any other </w:t>
      </w:r>
      <w:r w:rsidR="00AF3F55">
        <w:rPr>
          <w:sz w:val="28"/>
          <w:szCs w:val="28"/>
        </w:rPr>
        <w:t xml:space="preserve">transportation </w:t>
      </w:r>
      <w:r w:rsidR="005E12CC">
        <w:rPr>
          <w:sz w:val="28"/>
          <w:szCs w:val="28"/>
        </w:rPr>
        <w:t>fuels.</w:t>
      </w:r>
    </w:p>
    <w:p w:rsidR="00B12AB3" w:rsidRPr="00FA7F56" w:rsidRDefault="00D13779" w:rsidP="00AD4F27">
      <w:pPr>
        <w:pStyle w:val="BlockText"/>
        <w:rPr>
          <w:color w:val="FF0000"/>
          <w:sz w:val="28"/>
          <w:szCs w:val="28"/>
        </w:rPr>
      </w:pPr>
      <w:r w:rsidRPr="00FA7F56">
        <w:rPr>
          <w:sz w:val="28"/>
          <w:szCs w:val="28"/>
        </w:rPr>
        <w:t xml:space="preserve">The last four years have brought enormous </w:t>
      </w:r>
      <w:r w:rsidR="00B54660" w:rsidRPr="00FA7F56">
        <w:rPr>
          <w:sz w:val="28"/>
          <w:szCs w:val="28"/>
        </w:rPr>
        <w:t>momentum to the a</w:t>
      </w:r>
      <w:r w:rsidR="00AF3F55">
        <w:rPr>
          <w:sz w:val="28"/>
          <w:szCs w:val="28"/>
        </w:rPr>
        <w:t xml:space="preserve">dvanced biofuels industry.  </w:t>
      </w:r>
      <w:r w:rsidR="00743991">
        <w:rPr>
          <w:sz w:val="28"/>
          <w:szCs w:val="28"/>
        </w:rPr>
        <w:t>California companies</w:t>
      </w:r>
      <w:r w:rsidR="00B54660" w:rsidRPr="00FA7F56">
        <w:rPr>
          <w:sz w:val="28"/>
          <w:szCs w:val="28"/>
        </w:rPr>
        <w:t xml:space="preserve"> </w:t>
      </w:r>
      <w:r w:rsidR="00AF3F55">
        <w:rPr>
          <w:sz w:val="28"/>
          <w:szCs w:val="28"/>
        </w:rPr>
        <w:t xml:space="preserve">are leading the way, and </w:t>
      </w:r>
      <w:r w:rsidR="00E00D9F" w:rsidRPr="00FA7F56">
        <w:rPr>
          <w:sz w:val="28"/>
          <w:szCs w:val="28"/>
        </w:rPr>
        <w:t>creating</w:t>
      </w:r>
      <w:r w:rsidR="00AF3F55">
        <w:rPr>
          <w:sz w:val="28"/>
          <w:szCs w:val="28"/>
        </w:rPr>
        <w:t xml:space="preserve"> jobs in the process</w:t>
      </w:r>
      <w:r w:rsidR="00743991">
        <w:rPr>
          <w:sz w:val="28"/>
          <w:szCs w:val="28"/>
        </w:rPr>
        <w:t xml:space="preserve">.  </w:t>
      </w:r>
      <w:proofErr w:type="spellStart"/>
      <w:r w:rsidR="00C60A1E">
        <w:rPr>
          <w:sz w:val="28"/>
          <w:szCs w:val="28"/>
        </w:rPr>
        <w:t>Amyris</w:t>
      </w:r>
      <w:proofErr w:type="spellEnd"/>
      <w:r w:rsidR="00C60A1E">
        <w:rPr>
          <w:sz w:val="28"/>
          <w:szCs w:val="28"/>
        </w:rPr>
        <w:t xml:space="preserve"> has grown from 30 employees in 2007 to over 400 today</w:t>
      </w:r>
      <w:r w:rsidR="00E00D9F">
        <w:rPr>
          <w:sz w:val="28"/>
          <w:szCs w:val="28"/>
        </w:rPr>
        <w:t>,</w:t>
      </w:r>
      <w:r w:rsidR="00C60A1E">
        <w:rPr>
          <w:sz w:val="28"/>
          <w:szCs w:val="28"/>
        </w:rPr>
        <w:t xml:space="preserve"> while L</w:t>
      </w:r>
      <w:r w:rsidR="009E4742">
        <w:rPr>
          <w:sz w:val="28"/>
          <w:szCs w:val="28"/>
        </w:rPr>
        <w:t>S</w:t>
      </w:r>
      <w:r w:rsidR="00C60A1E">
        <w:rPr>
          <w:sz w:val="28"/>
          <w:szCs w:val="28"/>
        </w:rPr>
        <w:t>9 boast</w:t>
      </w:r>
      <w:r w:rsidR="00E00D9F">
        <w:rPr>
          <w:sz w:val="28"/>
          <w:szCs w:val="28"/>
        </w:rPr>
        <w:t>s</w:t>
      </w:r>
      <w:r w:rsidR="00743991">
        <w:rPr>
          <w:sz w:val="28"/>
          <w:szCs w:val="28"/>
        </w:rPr>
        <w:t xml:space="preserve"> 77,</w:t>
      </w:r>
      <w:r w:rsidR="00C60A1E">
        <w:rPr>
          <w:sz w:val="28"/>
          <w:szCs w:val="28"/>
        </w:rPr>
        <w:t xml:space="preserve"> </w:t>
      </w:r>
      <w:proofErr w:type="spellStart"/>
      <w:r w:rsidR="00C60A1E">
        <w:rPr>
          <w:sz w:val="28"/>
          <w:szCs w:val="28"/>
        </w:rPr>
        <w:t>Solazyme</w:t>
      </w:r>
      <w:proofErr w:type="spellEnd"/>
      <w:r w:rsidR="00C60A1E">
        <w:rPr>
          <w:sz w:val="28"/>
          <w:szCs w:val="28"/>
        </w:rPr>
        <w:t xml:space="preserve"> </w:t>
      </w:r>
      <w:r w:rsidR="00743991">
        <w:rPr>
          <w:sz w:val="28"/>
          <w:szCs w:val="28"/>
        </w:rPr>
        <w:t>has</w:t>
      </w:r>
      <w:r w:rsidR="00DE043A">
        <w:rPr>
          <w:sz w:val="28"/>
          <w:szCs w:val="28"/>
        </w:rPr>
        <w:t>150</w:t>
      </w:r>
      <w:r w:rsidR="00743991">
        <w:rPr>
          <w:sz w:val="28"/>
          <w:szCs w:val="28"/>
        </w:rPr>
        <w:t>, and Sapphire has 155</w:t>
      </w:r>
      <w:r w:rsidR="00DE043A">
        <w:rPr>
          <w:sz w:val="28"/>
          <w:szCs w:val="28"/>
        </w:rPr>
        <w:t>.</w:t>
      </w:r>
      <w:r w:rsidR="00C60A1E">
        <w:rPr>
          <w:sz w:val="28"/>
          <w:szCs w:val="28"/>
        </w:rPr>
        <w:t xml:space="preserve">  </w:t>
      </w:r>
      <w:r w:rsidRPr="00FA7F56">
        <w:rPr>
          <w:sz w:val="28"/>
          <w:szCs w:val="28"/>
        </w:rPr>
        <w:t xml:space="preserve">In the </w:t>
      </w:r>
      <w:r w:rsidR="00B54660" w:rsidRPr="00FA7F56">
        <w:rPr>
          <w:sz w:val="28"/>
          <w:szCs w:val="28"/>
        </w:rPr>
        <w:t xml:space="preserve">past </w:t>
      </w:r>
      <w:r w:rsidRPr="00FA7F56">
        <w:rPr>
          <w:sz w:val="28"/>
          <w:szCs w:val="28"/>
        </w:rPr>
        <w:t>year</w:t>
      </w:r>
      <w:r w:rsidR="00C84FAF">
        <w:rPr>
          <w:sz w:val="28"/>
          <w:szCs w:val="28"/>
        </w:rPr>
        <w:t xml:space="preserve">, six member </w:t>
      </w:r>
      <w:r w:rsidRPr="00FA7F56">
        <w:rPr>
          <w:sz w:val="28"/>
          <w:szCs w:val="28"/>
        </w:rPr>
        <w:t xml:space="preserve">companies </w:t>
      </w:r>
      <w:r w:rsidR="00C84FAF">
        <w:rPr>
          <w:sz w:val="28"/>
          <w:szCs w:val="28"/>
        </w:rPr>
        <w:t xml:space="preserve">have </w:t>
      </w:r>
      <w:r w:rsidRPr="00FA7F56">
        <w:rPr>
          <w:sz w:val="28"/>
          <w:szCs w:val="28"/>
        </w:rPr>
        <w:t>transition</w:t>
      </w:r>
      <w:r w:rsidR="00C84FAF">
        <w:rPr>
          <w:sz w:val="28"/>
          <w:szCs w:val="28"/>
        </w:rPr>
        <w:t>ed</w:t>
      </w:r>
      <w:r w:rsidRPr="00FA7F56">
        <w:rPr>
          <w:sz w:val="28"/>
          <w:szCs w:val="28"/>
        </w:rPr>
        <w:t xml:space="preserve"> to </w:t>
      </w:r>
      <w:r w:rsidR="00743991">
        <w:rPr>
          <w:sz w:val="28"/>
          <w:szCs w:val="28"/>
        </w:rPr>
        <w:t>be</w:t>
      </w:r>
      <w:r w:rsidR="00421416">
        <w:rPr>
          <w:sz w:val="28"/>
          <w:szCs w:val="28"/>
        </w:rPr>
        <w:t>come publically traded</w:t>
      </w:r>
      <w:r w:rsidRPr="00FA7F56">
        <w:rPr>
          <w:sz w:val="28"/>
          <w:szCs w:val="28"/>
        </w:rPr>
        <w:t xml:space="preserve">. </w:t>
      </w:r>
      <w:r w:rsidR="00B54660" w:rsidRPr="00FA7F56">
        <w:rPr>
          <w:sz w:val="28"/>
          <w:szCs w:val="28"/>
        </w:rPr>
        <w:t>Additionally, f</w:t>
      </w:r>
      <w:r w:rsidR="00DE043A">
        <w:rPr>
          <w:sz w:val="28"/>
          <w:szCs w:val="28"/>
        </w:rPr>
        <w:t>ive</w:t>
      </w:r>
      <w:r w:rsidR="00B54660" w:rsidRPr="00FA7F56">
        <w:rPr>
          <w:sz w:val="28"/>
          <w:szCs w:val="28"/>
        </w:rPr>
        <w:t xml:space="preserve"> of our</w:t>
      </w:r>
      <w:r w:rsidR="00924FEC" w:rsidRPr="00FA7F56">
        <w:rPr>
          <w:sz w:val="28"/>
          <w:szCs w:val="28"/>
        </w:rPr>
        <w:t xml:space="preserve"> member companies have </w:t>
      </w:r>
      <w:r w:rsidR="00B54660" w:rsidRPr="00FA7F56">
        <w:rPr>
          <w:sz w:val="28"/>
          <w:szCs w:val="28"/>
        </w:rPr>
        <w:t xml:space="preserve">produced </w:t>
      </w:r>
      <w:r w:rsidR="00E00D9F">
        <w:rPr>
          <w:sz w:val="28"/>
          <w:szCs w:val="28"/>
        </w:rPr>
        <w:t xml:space="preserve">and </w:t>
      </w:r>
      <w:r w:rsidR="00421416">
        <w:rPr>
          <w:sz w:val="28"/>
          <w:szCs w:val="28"/>
        </w:rPr>
        <w:t xml:space="preserve">successfully </w:t>
      </w:r>
      <w:r w:rsidR="00924FEC" w:rsidRPr="00FA7F56">
        <w:rPr>
          <w:sz w:val="28"/>
          <w:szCs w:val="28"/>
        </w:rPr>
        <w:t xml:space="preserve">tested </w:t>
      </w:r>
      <w:r w:rsidR="00421416">
        <w:rPr>
          <w:sz w:val="28"/>
          <w:szCs w:val="28"/>
        </w:rPr>
        <w:t xml:space="preserve">their alternative </w:t>
      </w:r>
      <w:r w:rsidR="00924FEC" w:rsidRPr="00FA7F56">
        <w:rPr>
          <w:sz w:val="28"/>
          <w:szCs w:val="28"/>
        </w:rPr>
        <w:t>jet fuels in commercial flights</w:t>
      </w:r>
      <w:r w:rsidR="00DE043A">
        <w:rPr>
          <w:sz w:val="28"/>
          <w:szCs w:val="28"/>
        </w:rPr>
        <w:t xml:space="preserve">.  </w:t>
      </w:r>
      <w:r w:rsidR="00421416">
        <w:rPr>
          <w:sz w:val="28"/>
          <w:szCs w:val="28"/>
        </w:rPr>
        <w:t>I’m particularly proud of the fact that, i</w:t>
      </w:r>
      <w:r w:rsidR="00B54660" w:rsidRPr="00FA7F56">
        <w:rPr>
          <w:sz w:val="28"/>
          <w:szCs w:val="28"/>
        </w:rPr>
        <w:t xml:space="preserve">n January 2009, Sapphire Energy became the world’s first algae-based fuel company to successfully fly a commercial jet on a 50/50 biofuel blend.  More recently, </w:t>
      </w:r>
      <w:r w:rsidR="00924FEC" w:rsidRPr="00FA7F56">
        <w:rPr>
          <w:sz w:val="28"/>
          <w:szCs w:val="28"/>
        </w:rPr>
        <w:t>the Thunderbir</w:t>
      </w:r>
      <w:r w:rsidR="00A05C7B">
        <w:rPr>
          <w:sz w:val="28"/>
          <w:szCs w:val="28"/>
        </w:rPr>
        <w:t>ds and the Blue Angels flew in air shows on</w:t>
      </w:r>
      <w:r w:rsidR="00924FEC" w:rsidRPr="00FA7F56">
        <w:rPr>
          <w:sz w:val="28"/>
          <w:szCs w:val="28"/>
        </w:rPr>
        <w:t xml:space="preserve"> a 50/50 blend of renewable jet fuels made by UOP/Honeywell.</w:t>
      </w:r>
      <w:r w:rsidR="00B12AB3" w:rsidRPr="00FA7F56">
        <w:rPr>
          <w:sz w:val="28"/>
          <w:szCs w:val="28"/>
        </w:rPr>
        <w:t xml:space="preserve">  </w:t>
      </w:r>
      <w:r w:rsidR="00B54660" w:rsidRPr="00FA7F56">
        <w:rPr>
          <w:color w:val="FF0000"/>
          <w:sz w:val="28"/>
          <w:szCs w:val="28"/>
        </w:rPr>
        <w:t xml:space="preserve"> </w:t>
      </w:r>
    </w:p>
    <w:p w:rsidR="00DE043A" w:rsidRDefault="00A05C7B" w:rsidP="00AD4F27">
      <w:pPr>
        <w:pStyle w:val="BlockText"/>
        <w:rPr>
          <w:sz w:val="28"/>
          <w:szCs w:val="28"/>
        </w:rPr>
      </w:pPr>
      <w:r>
        <w:rPr>
          <w:sz w:val="28"/>
          <w:szCs w:val="28"/>
        </w:rPr>
        <w:t xml:space="preserve">In spite of their </w:t>
      </w:r>
      <w:r w:rsidR="00421416">
        <w:rPr>
          <w:sz w:val="28"/>
          <w:szCs w:val="28"/>
        </w:rPr>
        <w:t xml:space="preserve">significant </w:t>
      </w:r>
      <w:r>
        <w:rPr>
          <w:sz w:val="28"/>
          <w:szCs w:val="28"/>
        </w:rPr>
        <w:t>accomplishments</w:t>
      </w:r>
      <w:r w:rsidR="00A001F4" w:rsidRPr="00FA7F56">
        <w:rPr>
          <w:sz w:val="28"/>
          <w:szCs w:val="28"/>
        </w:rPr>
        <w:t xml:space="preserve">, </w:t>
      </w:r>
      <w:r w:rsidR="00421416">
        <w:rPr>
          <w:sz w:val="28"/>
          <w:szCs w:val="28"/>
        </w:rPr>
        <w:t xml:space="preserve">ABFA </w:t>
      </w:r>
      <w:r w:rsidR="0070436C" w:rsidRPr="00FA7F56">
        <w:rPr>
          <w:sz w:val="28"/>
          <w:szCs w:val="28"/>
        </w:rPr>
        <w:t>companies still require</w:t>
      </w:r>
      <w:r w:rsidR="00B12AB3" w:rsidRPr="00FA7F56">
        <w:rPr>
          <w:sz w:val="28"/>
          <w:szCs w:val="28"/>
        </w:rPr>
        <w:t xml:space="preserve"> commercial funding to </w:t>
      </w:r>
      <w:r w:rsidR="0070436C" w:rsidRPr="00FA7F56">
        <w:rPr>
          <w:sz w:val="28"/>
          <w:szCs w:val="28"/>
        </w:rPr>
        <w:t xml:space="preserve">move forward </w:t>
      </w:r>
      <w:r w:rsidR="00C84FAF">
        <w:rPr>
          <w:sz w:val="28"/>
          <w:szCs w:val="28"/>
        </w:rPr>
        <w:t>at an expeditious pace</w:t>
      </w:r>
      <w:r w:rsidR="0070436C" w:rsidRPr="00FA7F56">
        <w:rPr>
          <w:sz w:val="28"/>
          <w:szCs w:val="28"/>
        </w:rPr>
        <w:t xml:space="preserve">, which is challenging in </w:t>
      </w:r>
      <w:r w:rsidR="00A001F4" w:rsidRPr="00FA7F56">
        <w:rPr>
          <w:sz w:val="28"/>
          <w:szCs w:val="28"/>
        </w:rPr>
        <w:t>this</w:t>
      </w:r>
      <w:r w:rsidR="0070436C" w:rsidRPr="00FA7F56">
        <w:rPr>
          <w:sz w:val="28"/>
          <w:szCs w:val="28"/>
        </w:rPr>
        <w:t xml:space="preserve"> economic environment</w:t>
      </w:r>
      <w:r w:rsidR="00B12AB3" w:rsidRPr="00FA7F56">
        <w:rPr>
          <w:sz w:val="28"/>
          <w:szCs w:val="28"/>
        </w:rPr>
        <w:t xml:space="preserve">.  </w:t>
      </w:r>
      <w:r w:rsidR="00B22013" w:rsidRPr="00FA7F56">
        <w:rPr>
          <w:sz w:val="28"/>
          <w:szCs w:val="28"/>
        </w:rPr>
        <w:t>Our industry</w:t>
      </w:r>
      <w:r w:rsidR="0070436C" w:rsidRPr="00FA7F56">
        <w:rPr>
          <w:sz w:val="28"/>
          <w:szCs w:val="28"/>
        </w:rPr>
        <w:t xml:space="preserve"> </w:t>
      </w:r>
      <w:r w:rsidR="00B22013" w:rsidRPr="00FA7F56">
        <w:rPr>
          <w:sz w:val="28"/>
          <w:szCs w:val="28"/>
        </w:rPr>
        <w:t>constantly</w:t>
      </w:r>
      <w:r w:rsidR="0070436C" w:rsidRPr="00FA7F56">
        <w:rPr>
          <w:sz w:val="28"/>
          <w:szCs w:val="28"/>
        </w:rPr>
        <w:t xml:space="preserve"> manages</w:t>
      </w:r>
      <w:r w:rsidR="00B12AB3" w:rsidRPr="00FA7F56">
        <w:rPr>
          <w:sz w:val="28"/>
          <w:szCs w:val="28"/>
        </w:rPr>
        <w:t xml:space="preserve"> three risk</w:t>
      </w:r>
      <w:r w:rsidR="00C84FAF">
        <w:rPr>
          <w:sz w:val="28"/>
          <w:szCs w:val="28"/>
        </w:rPr>
        <w:t>s in its quest to commercialize</w:t>
      </w:r>
      <w:r w:rsidR="00B22013" w:rsidRPr="00FA7F56">
        <w:rPr>
          <w:sz w:val="28"/>
          <w:szCs w:val="28"/>
        </w:rPr>
        <w:t xml:space="preserve">: </w:t>
      </w:r>
      <w:r w:rsidR="00B12AB3" w:rsidRPr="00FA7F56">
        <w:rPr>
          <w:sz w:val="28"/>
          <w:szCs w:val="28"/>
        </w:rPr>
        <w:t xml:space="preserve">technology risk, commodity volatility and regulatory volatility.  </w:t>
      </w:r>
      <w:r w:rsidR="00421416">
        <w:rPr>
          <w:sz w:val="28"/>
          <w:szCs w:val="28"/>
        </w:rPr>
        <w:t xml:space="preserve">While the state can do little to affect technology risk and commodity volatility, </w:t>
      </w:r>
      <w:r w:rsidR="00A001F4" w:rsidRPr="00FA7F56">
        <w:rPr>
          <w:sz w:val="28"/>
          <w:szCs w:val="28"/>
        </w:rPr>
        <w:t xml:space="preserve">California </w:t>
      </w:r>
      <w:r w:rsidR="00A001F4" w:rsidRPr="00421416">
        <w:rPr>
          <w:i/>
          <w:sz w:val="28"/>
          <w:szCs w:val="28"/>
        </w:rPr>
        <w:t xml:space="preserve">can </w:t>
      </w:r>
      <w:r w:rsidR="00A001F4" w:rsidRPr="00FA7F56">
        <w:rPr>
          <w:sz w:val="28"/>
          <w:szCs w:val="28"/>
        </w:rPr>
        <w:t>establish a</w:t>
      </w:r>
      <w:r w:rsidR="00B12AB3" w:rsidRPr="00FA7F56">
        <w:rPr>
          <w:sz w:val="28"/>
          <w:szCs w:val="28"/>
        </w:rPr>
        <w:t xml:space="preserve"> </w:t>
      </w:r>
      <w:r w:rsidR="00E00D9F">
        <w:rPr>
          <w:sz w:val="28"/>
          <w:szCs w:val="28"/>
        </w:rPr>
        <w:t xml:space="preserve">stable </w:t>
      </w:r>
      <w:r w:rsidR="00421416">
        <w:rPr>
          <w:sz w:val="28"/>
          <w:szCs w:val="28"/>
        </w:rPr>
        <w:t xml:space="preserve">policy </w:t>
      </w:r>
      <w:r w:rsidR="00A001F4" w:rsidRPr="00FA7F56">
        <w:rPr>
          <w:sz w:val="28"/>
          <w:szCs w:val="28"/>
        </w:rPr>
        <w:t xml:space="preserve">framework that offers regulatory </w:t>
      </w:r>
      <w:r w:rsidR="00421416">
        <w:rPr>
          <w:sz w:val="28"/>
          <w:szCs w:val="28"/>
        </w:rPr>
        <w:t xml:space="preserve">certainty to </w:t>
      </w:r>
      <w:r w:rsidR="00C84FAF">
        <w:rPr>
          <w:sz w:val="28"/>
          <w:szCs w:val="28"/>
        </w:rPr>
        <w:t xml:space="preserve">our </w:t>
      </w:r>
      <w:r w:rsidR="00421416">
        <w:rPr>
          <w:sz w:val="28"/>
          <w:szCs w:val="28"/>
        </w:rPr>
        <w:t xml:space="preserve">industry and </w:t>
      </w:r>
      <w:r w:rsidR="00C84FAF">
        <w:rPr>
          <w:sz w:val="28"/>
          <w:szCs w:val="28"/>
        </w:rPr>
        <w:t xml:space="preserve">its </w:t>
      </w:r>
      <w:r w:rsidR="00421416">
        <w:rPr>
          <w:sz w:val="28"/>
          <w:szCs w:val="28"/>
        </w:rPr>
        <w:t>potential investors</w:t>
      </w:r>
      <w:r w:rsidR="00B22013" w:rsidRPr="00FA7F56">
        <w:rPr>
          <w:sz w:val="28"/>
          <w:szCs w:val="28"/>
        </w:rPr>
        <w:t xml:space="preserve">.  </w:t>
      </w:r>
      <w:r w:rsidR="00A001F4" w:rsidRPr="00FA7F56">
        <w:rPr>
          <w:sz w:val="28"/>
          <w:szCs w:val="28"/>
        </w:rPr>
        <w:t xml:space="preserve">This, in turn, will help </w:t>
      </w:r>
      <w:r w:rsidR="00421416">
        <w:rPr>
          <w:sz w:val="28"/>
          <w:szCs w:val="28"/>
        </w:rPr>
        <w:t>commercialize the growing</w:t>
      </w:r>
      <w:r w:rsidR="00A001F4" w:rsidRPr="00FA7F56">
        <w:rPr>
          <w:sz w:val="28"/>
          <w:szCs w:val="28"/>
        </w:rPr>
        <w:t xml:space="preserve"> California-based advanced biofuels industry</w:t>
      </w:r>
      <w:r w:rsidR="00421416">
        <w:rPr>
          <w:sz w:val="28"/>
          <w:szCs w:val="28"/>
        </w:rPr>
        <w:t>,</w:t>
      </w:r>
      <w:r w:rsidR="00A001F4" w:rsidRPr="00FA7F56">
        <w:rPr>
          <w:sz w:val="28"/>
          <w:szCs w:val="28"/>
        </w:rPr>
        <w:t xml:space="preserve"> to the benefit of our</w:t>
      </w:r>
      <w:r w:rsidR="00B54660" w:rsidRPr="00FA7F56">
        <w:rPr>
          <w:sz w:val="28"/>
          <w:szCs w:val="28"/>
        </w:rPr>
        <w:t xml:space="preserve"> state, its economy, and our environment.</w:t>
      </w:r>
      <w:r w:rsidR="00B07A27" w:rsidRPr="00FA7F56">
        <w:rPr>
          <w:sz w:val="28"/>
          <w:szCs w:val="28"/>
        </w:rPr>
        <w:t xml:space="preserve">  </w:t>
      </w:r>
    </w:p>
    <w:p w:rsidR="00B07A27" w:rsidRDefault="00B54660" w:rsidP="00AD4F27">
      <w:pPr>
        <w:pStyle w:val="BlockText"/>
      </w:pPr>
      <w:r w:rsidRPr="00FA7F56">
        <w:rPr>
          <w:sz w:val="28"/>
          <w:szCs w:val="28"/>
        </w:rPr>
        <w:t xml:space="preserve">The ABFA </w:t>
      </w:r>
      <w:r w:rsidR="00421416">
        <w:rPr>
          <w:sz w:val="28"/>
          <w:szCs w:val="28"/>
        </w:rPr>
        <w:t>thanks</w:t>
      </w:r>
      <w:r w:rsidR="00A001F4" w:rsidRPr="00FA7F56">
        <w:rPr>
          <w:sz w:val="28"/>
          <w:szCs w:val="28"/>
        </w:rPr>
        <w:t xml:space="preserve"> you for y</w:t>
      </w:r>
      <w:r w:rsidR="00421416">
        <w:rPr>
          <w:sz w:val="28"/>
          <w:szCs w:val="28"/>
        </w:rPr>
        <w:t>our leadership on these issues, and</w:t>
      </w:r>
      <w:r w:rsidR="00C84FAF">
        <w:rPr>
          <w:sz w:val="28"/>
          <w:szCs w:val="28"/>
        </w:rPr>
        <w:t xml:space="preserve"> we’d like to</w:t>
      </w:r>
      <w:r w:rsidR="00421416">
        <w:rPr>
          <w:sz w:val="28"/>
          <w:szCs w:val="28"/>
        </w:rPr>
        <w:t xml:space="preserve"> offer </w:t>
      </w:r>
      <w:r w:rsidR="0070436C" w:rsidRPr="00FA7F56">
        <w:rPr>
          <w:sz w:val="28"/>
          <w:szCs w:val="28"/>
        </w:rPr>
        <w:t xml:space="preserve">ourselves as resources </w:t>
      </w:r>
      <w:r w:rsidR="00A001F4" w:rsidRPr="00FA7F56">
        <w:rPr>
          <w:sz w:val="28"/>
          <w:szCs w:val="28"/>
        </w:rPr>
        <w:t>to you in the</w:t>
      </w:r>
      <w:r w:rsidRPr="00FA7F56">
        <w:rPr>
          <w:sz w:val="28"/>
          <w:szCs w:val="28"/>
        </w:rPr>
        <w:t xml:space="preserve"> development </w:t>
      </w:r>
      <w:r w:rsidR="0070436C" w:rsidRPr="00FA7F56">
        <w:rPr>
          <w:sz w:val="28"/>
          <w:szCs w:val="28"/>
        </w:rPr>
        <w:t>o</w:t>
      </w:r>
      <w:r w:rsidR="00421416">
        <w:rPr>
          <w:sz w:val="28"/>
          <w:szCs w:val="28"/>
        </w:rPr>
        <w:t>f these important policies</w:t>
      </w:r>
      <w:r w:rsidR="00A001F4" w:rsidRPr="00FA7F56">
        <w:rPr>
          <w:sz w:val="28"/>
          <w:szCs w:val="28"/>
        </w:rPr>
        <w:t xml:space="preserve">.  </w:t>
      </w:r>
    </w:p>
    <w:p w:rsidR="00B07A27" w:rsidRDefault="00B07A27" w:rsidP="00AD4F27">
      <w:pPr>
        <w:pStyle w:val="BlockText"/>
      </w:pPr>
    </w:p>
    <w:p w:rsidR="00D13779" w:rsidRDefault="00D13779" w:rsidP="00AD4F27">
      <w:pPr>
        <w:pStyle w:val="BlockText"/>
      </w:pPr>
    </w:p>
    <w:p w:rsidR="000D6154" w:rsidRDefault="000D6154" w:rsidP="00AD4F27">
      <w:pPr>
        <w:pStyle w:val="BlockText"/>
      </w:pPr>
      <w:r>
        <w:tab/>
        <w:t xml:space="preserve">                             </w:t>
      </w:r>
      <w:r>
        <w:tab/>
      </w:r>
      <w:r>
        <w:tab/>
      </w:r>
      <w:r>
        <w:tab/>
      </w:r>
    </w:p>
    <w:p w:rsidR="000D6154" w:rsidRDefault="000D6154" w:rsidP="00AD4F27">
      <w:pPr>
        <w:pStyle w:val="BlockText"/>
      </w:pPr>
      <w:r>
        <w:tab/>
      </w:r>
      <w:r>
        <w:tab/>
      </w:r>
      <w:r>
        <w:tab/>
      </w:r>
      <w:r>
        <w:tab/>
      </w:r>
      <w:r>
        <w:tab/>
      </w:r>
    </w:p>
    <w:p w:rsidR="000D6154" w:rsidRPr="00AD4F27" w:rsidRDefault="000D6154" w:rsidP="00AD4F27">
      <w:pPr>
        <w:pStyle w:val="BlockText"/>
      </w:pPr>
    </w:p>
    <w:sectPr w:rsidR="000D6154" w:rsidRPr="00AD4F27" w:rsidSect="0097222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5C" w:rsidRDefault="007B2A5C" w:rsidP="009A2CBA">
      <w:r>
        <w:separator/>
      </w:r>
    </w:p>
  </w:endnote>
  <w:endnote w:type="continuationSeparator" w:id="0">
    <w:p w:rsidR="007B2A5C" w:rsidRDefault="007B2A5C" w:rsidP="009A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24" w:rsidRDefault="00972224" w:rsidP="000421B5">
    <w:pPr>
      <w:pStyle w:val="Footer"/>
    </w:pPr>
    <w:r>
      <w:tab/>
    </w:r>
    <w:fldSimple w:instr=" PAGE   \* MERGEFORMAT ">
      <w:r w:rsidR="005F6EB2">
        <w:rPr>
          <w:noProof/>
        </w:rPr>
        <w:t>3</w:t>
      </w:r>
    </w:fldSimple>
  </w:p>
  <w:p w:rsidR="000421B5" w:rsidRPr="00911FE4" w:rsidRDefault="0013716C" w:rsidP="000421B5">
    <w:pPr>
      <w:pStyle w:val="Footer"/>
      <w:rPr>
        <w:rStyle w:val="DocID"/>
      </w:rPr>
    </w:pPr>
    <w:r w:rsidRPr="0013716C">
      <w:rPr>
        <w:rStyle w:val="DocID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B5" w:rsidRPr="00911FE4" w:rsidRDefault="003C332A" w:rsidP="000421B5">
    <w:pPr>
      <w:pStyle w:val="Footer"/>
      <w:rPr>
        <w:rStyle w:val="DocID"/>
      </w:rPr>
    </w:pPr>
    <w:r>
      <w:rPr>
        <w:sz w:val="20"/>
      </w:rPr>
      <w:fldChar w:fldCharType="begin"/>
    </w:r>
    <w:r w:rsidR="000421B5">
      <w:rPr>
        <w:sz w:val="20"/>
      </w:rPr>
      <w:instrText xml:space="preserve"> If </w:instrText>
    </w:r>
    <w:r>
      <w:rPr>
        <w:sz w:val="20"/>
      </w:rPr>
      <w:fldChar w:fldCharType="begin"/>
    </w:r>
    <w:r w:rsidR="000421B5">
      <w:rPr>
        <w:sz w:val="20"/>
      </w:rPr>
      <w:instrText xml:space="preserve"> numpages </w:instrText>
    </w:r>
    <w:r>
      <w:rPr>
        <w:sz w:val="20"/>
      </w:rPr>
      <w:fldChar w:fldCharType="separate"/>
    </w:r>
    <w:r w:rsidR="005F6EB2">
      <w:rPr>
        <w:noProof/>
        <w:sz w:val="20"/>
      </w:rPr>
      <w:instrText>3</w:instrText>
    </w:r>
    <w:r>
      <w:rPr>
        <w:sz w:val="20"/>
      </w:rPr>
      <w:fldChar w:fldCharType="end"/>
    </w:r>
    <w:r w:rsidR="000421B5">
      <w:rPr>
        <w:sz w:val="20"/>
      </w:rPr>
      <w:instrText xml:space="preserve"> = 1 </w:instrText>
    </w:r>
    <w:r w:rsidR="000D6154" w:rsidRPr="000D6154">
      <w:rPr>
        <w:rStyle w:val="DocID"/>
      </w:rPr>
      <w:instrText xml:space="preserve"> </w:instrText>
    </w:r>
    <w:r w:rsidR="000421B5">
      <w:instrText xml:space="preserve"> ""</w:instrText>
    </w:r>
    <w:r w:rsidR="000421B5">
      <w:rPr>
        <w:sz w:val="20"/>
      </w:rPr>
      <w:instrText xml:space="preserve"> </w:instrTex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5C" w:rsidRDefault="007B2A5C" w:rsidP="009A2CBA">
      <w:r>
        <w:separator/>
      </w:r>
    </w:p>
  </w:footnote>
  <w:footnote w:type="continuationSeparator" w:id="0">
    <w:p w:rsidR="007B2A5C" w:rsidRDefault="007B2A5C" w:rsidP="009A2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9435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68A6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CED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">
    <w:nsid w:val="FFFFFF80"/>
    <w:multiLevelType w:val="singleLevel"/>
    <w:tmpl w:val="AFBAF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E22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01E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14"/>
  </w:num>
  <w:num w:numId="5">
    <w:abstractNumId w:val="26"/>
  </w:num>
  <w:num w:numId="6">
    <w:abstractNumId w:val="21"/>
  </w:num>
  <w:num w:numId="7">
    <w:abstractNumId w:val="19"/>
  </w:num>
  <w:num w:numId="8">
    <w:abstractNumId w:val="31"/>
  </w:num>
  <w:num w:numId="9">
    <w:abstractNumId w:val="20"/>
  </w:num>
  <w:num w:numId="10">
    <w:abstractNumId w:val="11"/>
  </w:num>
  <w:num w:numId="11">
    <w:abstractNumId w:val="10"/>
  </w:num>
  <w:num w:numId="12">
    <w:abstractNumId w:val="12"/>
  </w:num>
  <w:num w:numId="13">
    <w:abstractNumId w:val="18"/>
  </w:num>
  <w:num w:numId="14">
    <w:abstractNumId w:val="25"/>
  </w:num>
  <w:num w:numId="15">
    <w:abstractNumId w:val="28"/>
  </w:num>
  <w:num w:numId="16">
    <w:abstractNumId w:val="29"/>
  </w:num>
  <w:num w:numId="17">
    <w:abstractNumId w:val="23"/>
  </w:num>
  <w:num w:numId="18">
    <w:abstractNumId w:val="13"/>
  </w:num>
  <w:num w:numId="19">
    <w:abstractNumId w:val="27"/>
  </w:num>
  <w:num w:numId="20">
    <w:abstractNumId w:val="30"/>
  </w:num>
  <w:num w:numId="21">
    <w:abstractNumId w:val="22"/>
  </w:num>
  <w:num w:numId="22">
    <w:abstractNumId w:val="32"/>
  </w:num>
  <w:num w:numId="23">
    <w:abstractNumId w:val="16"/>
  </w:num>
  <w:num w:numId="24">
    <w:abstractNumId w:val="15"/>
  </w:num>
  <w:num w:numId="25">
    <w:abstractNumId w:val="1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13779"/>
    <w:rsid w:val="00027FC3"/>
    <w:rsid w:val="000421B5"/>
    <w:rsid w:val="000A0431"/>
    <w:rsid w:val="000A4BA4"/>
    <w:rsid w:val="000D6154"/>
    <w:rsid w:val="000F6911"/>
    <w:rsid w:val="001156AF"/>
    <w:rsid w:val="0013716C"/>
    <w:rsid w:val="0016470F"/>
    <w:rsid w:val="001963BC"/>
    <w:rsid w:val="001C6F90"/>
    <w:rsid w:val="001D1B70"/>
    <w:rsid w:val="001D4B3B"/>
    <w:rsid w:val="001D4CB1"/>
    <w:rsid w:val="0022787A"/>
    <w:rsid w:val="002348A5"/>
    <w:rsid w:val="00243FF8"/>
    <w:rsid w:val="00246D22"/>
    <w:rsid w:val="002630F7"/>
    <w:rsid w:val="00275D31"/>
    <w:rsid w:val="002D2686"/>
    <w:rsid w:val="003117F3"/>
    <w:rsid w:val="003319A7"/>
    <w:rsid w:val="00340740"/>
    <w:rsid w:val="003473F4"/>
    <w:rsid w:val="003A4FB0"/>
    <w:rsid w:val="003C27A1"/>
    <w:rsid w:val="003C332A"/>
    <w:rsid w:val="003E64F3"/>
    <w:rsid w:val="00405D17"/>
    <w:rsid w:val="00421416"/>
    <w:rsid w:val="004A00F8"/>
    <w:rsid w:val="004C53FA"/>
    <w:rsid w:val="004C63D8"/>
    <w:rsid w:val="004F3D87"/>
    <w:rsid w:val="005237C4"/>
    <w:rsid w:val="005978C5"/>
    <w:rsid w:val="005E12CC"/>
    <w:rsid w:val="005F4A79"/>
    <w:rsid w:val="005F6EB2"/>
    <w:rsid w:val="00614279"/>
    <w:rsid w:val="00672208"/>
    <w:rsid w:val="006747CB"/>
    <w:rsid w:val="00685808"/>
    <w:rsid w:val="006B1D63"/>
    <w:rsid w:val="006C4B4C"/>
    <w:rsid w:val="006F336C"/>
    <w:rsid w:val="0070436C"/>
    <w:rsid w:val="00743991"/>
    <w:rsid w:val="007B2A5C"/>
    <w:rsid w:val="007C748A"/>
    <w:rsid w:val="008360EF"/>
    <w:rsid w:val="00836549"/>
    <w:rsid w:val="008448E2"/>
    <w:rsid w:val="00853C9B"/>
    <w:rsid w:val="008667F9"/>
    <w:rsid w:val="00887951"/>
    <w:rsid w:val="008B6B8E"/>
    <w:rsid w:val="008C44B6"/>
    <w:rsid w:val="008E4BD2"/>
    <w:rsid w:val="00922BE1"/>
    <w:rsid w:val="00924FEC"/>
    <w:rsid w:val="00933C83"/>
    <w:rsid w:val="0094309E"/>
    <w:rsid w:val="00972224"/>
    <w:rsid w:val="009A2CBA"/>
    <w:rsid w:val="009B472E"/>
    <w:rsid w:val="009C6F42"/>
    <w:rsid w:val="009E4742"/>
    <w:rsid w:val="00A001F4"/>
    <w:rsid w:val="00A05C7B"/>
    <w:rsid w:val="00A47D5F"/>
    <w:rsid w:val="00A652AF"/>
    <w:rsid w:val="00A862A4"/>
    <w:rsid w:val="00A92BA2"/>
    <w:rsid w:val="00AB6124"/>
    <w:rsid w:val="00AC655A"/>
    <w:rsid w:val="00AD3673"/>
    <w:rsid w:val="00AD4F27"/>
    <w:rsid w:val="00AD7D2E"/>
    <w:rsid w:val="00AF3F55"/>
    <w:rsid w:val="00B07A27"/>
    <w:rsid w:val="00B11BE8"/>
    <w:rsid w:val="00B12AB3"/>
    <w:rsid w:val="00B1354A"/>
    <w:rsid w:val="00B22013"/>
    <w:rsid w:val="00B51F07"/>
    <w:rsid w:val="00B54660"/>
    <w:rsid w:val="00B55AA9"/>
    <w:rsid w:val="00B64E7C"/>
    <w:rsid w:val="00BB58C6"/>
    <w:rsid w:val="00BC3ED9"/>
    <w:rsid w:val="00C32A95"/>
    <w:rsid w:val="00C35BD6"/>
    <w:rsid w:val="00C47A18"/>
    <w:rsid w:val="00C60A1E"/>
    <w:rsid w:val="00C84FAF"/>
    <w:rsid w:val="00C8621F"/>
    <w:rsid w:val="00CA1D5A"/>
    <w:rsid w:val="00CE057C"/>
    <w:rsid w:val="00CF5E70"/>
    <w:rsid w:val="00D13779"/>
    <w:rsid w:val="00D45220"/>
    <w:rsid w:val="00D47225"/>
    <w:rsid w:val="00D54041"/>
    <w:rsid w:val="00D6131F"/>
    <w:rsid w:val="00DA0A8B"/>
    <w:rsid w:val="00DE043A"/>
    <w:rsid w:val="00DE517B"/>
    <w:rsid w:val="00DF1059"/>
    <w:rsid w:val="00E00D9F"/>
    <w:rsid w:val="00E24ACD"/>
    <w:rsid w:val="00E3534A"/>
    <w:rsid w:val="00E3744D"/>
    <w:rsid w:val="00E42885"/>
    <w:rsid w:val="00E91183"/>
    <w:rsid w:val="00E95DE1"/>
    <w:rsid w:val="00EE554A"/>
    <w:rsid w:val="00F04437"/>
    <w:rsid w:val="00F53B73"/>
    <w:rsid w:val="00F81307"/>
    <w:rsid w:val="00F828AE"/>
    <w:rsid w:val="00FA7F56"/>
    <w:rsid w:val="00FB73A7"/>
    <w:rsid w:val="00F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" w:semiHidden="0" w:uiPriority="0" w:unhideWhenUsed="0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B58C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uiPriority w:val="99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BB58C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CommentReference">
    <w:name w:val="annotation reference"/>
    <w:basedOn w:val="DefaultParagraphFont"/>
    <w:uiPriority w:val="99"/>
    <w:semiHidden/>
    <w:unhideWhenUsed/>
    <w:rsid w:val="00743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2A81-FF26-46F1-8C62-2DC097CE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&amp; Knight LLP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McAdams, Michael J (WAS - X75140)</dc:creator>
  <cp:lastModifiedBy>Denise Gitsham</cp:lastModifiedBy>
  <cp:revision>2</cp:revision>
  <cp:lastPrinted>2011-10-21T20:25:00Z</cp:lastPrinted>
  <dcterms:created xsi:type="dcterms:W3CDTF">2011-10-26T22:49:00Z</dcterms:created>
  <dcterms:modified xsi:type="dcterms:W3CDTF">2011-10-26T22:49:00Z</dcterms:modified>
</cp:coreProperties>
</file>