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365F9" w:rsidRDefault="00294E7C" w:rsidP="00E00F08">
      <w:pPr>
        <w:jc w:val="center"/>
        <w:rPr>
          <w:rFonts w:ascii="Century Gothic" w:hAnsi="Century Gothic"/>
          <w:noProof/>
          <w:sz w:val="96"/>
          <w:szCs w:val="96"/>
        </w:rPr>
      </w:pPr>
      <w:r>
        <w:rPr>
          <w:noProof/>
          <w:color w:val="000000"/>
          <w:sz w:val="0"/>
          <w:szCs w:val="0"/>
          <w:u w:color="000000"/>
        </w:rPr>
        <mc:AlternateContent>
          <mc:Choice Requires="wps">
            <w:drawing>
              <wp:anchor distT="0" distB="0" distL="114300" distR="114300" simplePos="0" relativeHeight="251775488" behindDoc="0" locked="0" layoutInCell="1" allowOverlap="1" wp14:anchorId="04795A89" wp14:editId="3E92DE43">
                <wp:simplePos x="0" y="0"/>
                <wp:positionH relativeFrom="column">
                  <wp:posOffset>-289560</wp:posOffset>
                </wp:positionH>
                <wp:positionV relativeFrom="paragraph">
                  <wp:posOffset>-385445</wp:posOffset>
                </wp:positionV>
                <wp:extent cx="7343140" cy="134620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7343140" cy="1346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80" w:rsidRDefault="00CE6E80">
                            <w:r>
                              <w:rPr>
                                <w:noProof/>
                              </w:rPr>
                              <w:drawing>
                                <wp:inline distT="0" distB="0" distL="0" distR="0" wp14:anchorId="7A869314" wp14:editId="17C54F65">
                                  <wp:extent cx="7153910" cy="59309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bannerFINAL3_rgb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53910" cy="5930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22.8pt;margin-top:-30.35pt;width:578.2pt;height:106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" fillcolor="white [3201]" stroked="f" strokeweight=".5pt">
                <v:textbox>
                  <w:txbxContent>
                    <w:p w:rsidR="00CE6E80" w:rsidRDefault="00CE6E80">
                      <w:r>
                        <w:rPr>
                          <w:noProof/>
                        </w:rPr>
                        <w:drawing>
                          <wp:inline distT="0" distB="0" distL="0" distR="0" wp14:anchorId="7A869314" wp14:editId="17C54F65">
                            <wp:extent cx="7153910" cy="59309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bannerFINAL3_rgb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53910" cy="593090"/>
                                    </a:xfrm>
                                    <a:prstGeom prst="rect">
                                      <a:avLst/>
                                    </a:prstGeom>
                                  </pic:spPr>
                                </pic:pic>
                              </a:graphicData>
                            </a:graphic>
                          </wp:inline>
                        </w:drawing>
                      </w:r>
                    </w:p>
                  </w:txbxContent>
                </v:textbox>
              </v:shape>
            </w:pict>
          </mc:Fallback>
        </mc:AlternateContent>
      </w:r>
      <w:r w:rsidR="00681801" w:rsidRPr="005B1C54">
        <w:rPr>
          <w:noProof/>
          <w:snapToGrid w:val="0"/>
          <w:color w:val="000000"/>
          <w:w w:val="0"/>
          <w:sz w:val="0"/>
          <w:szCs w:val="0"/>
          <w:u w:color="000000"/>
          <w:bdr w:val="none" w:sz="0" w:space="0" w:color="000000"/>
          <w:shd w:val="clear" w:color="000000" w:fill="000000"/>
        </w:rPr>
        <mc:AlternateContent>
          <mc:Choice Requires="wps">
            <w:drawing>
              <wp:anchor distT="0" distB="0" distL="114300" distR="114300" simplePos="0" relativeHeight="251747840" behindDoc="0" locked="0" layoutInCell="1" allowOverlap="1" wp14:anchorId="2F3EDFC4" wp14:editId="1A1B3EE4">
                <wp:simplePos x="0" y="0"/>
                <wp:positionH relativeFrom="column">
                  <wp:posOffset>-5603189</wp:posOffset>
                </wp:positionH>
                <wp:positionV relativeFrom="paragraph">
                  <wp:posOffset>1441399</wp:posOffset>
                </wp:positionV>
                <wp:extent cx="4892040" cy="1811020"/>
                <wp:effectExtent l="0" t="0" r="0" b="0"/>
                <wp:wrapNone/>
                <wp:docPr id="203" name="TextBox 202"/>
                <wp:cNvGraphicFramePr/>
                <a:graphic xmlns:a="http://schemas.openxmlformats.org/drawingml/2006/main">
                  <a:graphicData uri="http://schemas.microsoft.com/office/word/2010/wordprocessingShape">
                    <wps:wsp>
                      <wps:cNvSpPr txBox="1"/>
                      <wps:spPr>
                        <a:xfrm>
                          <a:off x="0" y="0"/>
                          <a:ext cx="4892040" cy="1811020"/>
                        </a:xfrm>
                        <a:prstGeom prst="rect">
                          <a:avLst/>
                        </a:prstGeom>
                        <a:noFill/>
                        <a:effectLst>
                          <a:outerShdw blurRad="101600" dist="76200" dir="2700000" algn="tl" rotWithShape="0">
                            <a:prstClr val="black">
                              <a:alpha val="30000"/>
                            </a:prstClr>
                          </a:outerShdw>
                        </a:effectLst>
                      </wps:spPr>
                      <wps:txbx>
                        <w:txbxContent>
                          <w:p w:rsidR="00CE6E80" w:rsidRDefault="00CE6E80" w:rsidP="005B1C54">
                            <w:pPr>
                              <w:pStyle w:val="NormalWeb"/>
                            </w:pPr>
                            <w:r>
                              <w:rPr>
                                <w:rFonts w:ascii="Arial Black" w:hAnsi="Arial Black" w:cstheme="minorBidi"/>
                                <w:b/>
                                <w:bCs/>
                                <w:color w:val="000000" w:themeColor="text1"/>
                                <w:kern w:val="24"/>
                                <w:sz w:val="80"/>
                                <w:szCs w:val="80"/>
                              </w:rPr>
                              <w:t xml:space="preserve">2015 </w:t>
                            </w:r>
                            <w:r>
                              <w:rPr>
                                <w:rFonts w:ascii="Arial Black" w:hAnsi="Arial Black" w:cstheme="minorBidi"/>
                                <w:b/>
                                <w:bCs/>
                                <w:color w:val="000000" w:themeColor="text1"/>
                                <w:kern w:val="24"/>
                                <w:sz w:val="96"/>
                                <w:szCs w:val="96"/>
                              </w:rPr>
                              <w:t>A</w:t>
                            </w:r>
                            <w:r>
                              <w:rPr>
                                <w:rFonts w:ascii="Arial Black" w:hAnsi="Arial Black" w:cstheme="minorBidi"/>
                                <w:b/>
                                <w:bCs/>
                                <w:color w:val="000000" w:themeColor="text1"/>
                                <w:kern w:val="24"/>
                                <w:sz w:val="72"/>
                                <w:szCs w:val="72"/>
                              </w:rPr>
                              <w:t>NNUAL</w:t>
                            </w:r>
                            <w:r>
                              <w:rPr>
                                <w:rFonts w:ascii="Arial Black" w:hAnsi="Arial Black" w:cstheme="minorBidi"/>
                                <w:b/>
                                <w:bCs/>
                                <w:color w:val="000000" w:themeColor="text1"/>
                                <w:kern w:val="24"/>
                                <w:sz w:val="80"/>
                                <w:szCs w:val="80"/>
                              </w:rPr>
                              <w:t xml:space="preserve"> </w:t>
                            </w:r>
                            <w:r>
                              <w:rPr>
                                <w:rFonts w:ascii="Arial Black" w:hAnsi="Arial Black" w:cstheme="minorBidi"/>
                                <w:b/>
                                <w:bCs/>
                                <w:color w:val="000000" w:themeColor="text1"/>
                                <w:kern w:val="24"/>
                                <w:sz w:val="96"/>
                                <w:szCs w:val="96"/>
                              </w:rPr>
                              <w:t>R</w:t>
                            </w:r>
                            <w:r>
                              <w:rPr>
                                <w:rFonts w:ascii="Arial Black" w:hAnsi="Arial Black" w:cstheme="minorBidi"/>
                                <w:b/>
                                <w:bCs/>
                                <w:color w:val="000000" w:themeColor="text1"/>
                                <w:kern w:val="24"/>
                                <w:sz w:val="72"/>
                                <w:szCs w:val="72"/>
                              </w:rPr>
                              <w:t>EPORT</w:t>
                            </w:r>
                          </w:p>
                        </w:txbxContent>
                      </wps:txbx>
                      <wps:bodyPr wrap="square" rtlCol="0">
                        <a:spAutoFit/>
                      </wps:bodyPr>
                    </wps:wsp>
                  </a:graphicData>
                </a:graphic>
              </wp:anchor>
            </w:drawing>
          </mc:Choice>
          <mc:Fallback>
            <w:pict>
              <v:shape id="TextBox 202" o:spid="_x0000_s1027" type="#_x0000_t202" style="position:absolute;left:0;text-align:left;margin-left:-441.2pt;margin-top:113.5pt;width:385.2pt;height:142.6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" filled="f" stroked="f">
                <v:shadow on="t" color="black" opacity="19660f" origin="-.5,-.5" offset="1.49672mm,1.49672mm"/>
                <v:textbox style="mso-fit-shape-to-text:t">
                  <w:txbxContent>
                    <w:p w:rsidR="00CE6E80" w:rsidRDefault="00CE6E80" w:rsidP="005B1C54">
                      <w:pPr>
                        <w:pStyle w:val="NormalWeb"/>
                      </w:pPr>
                      <w:r>
                        <w:rPr>
                          <w:rFonts w:ascii="Arial Black" w:hAnsi="Arial Black" w:cstheme="minorBidi"/>
                          <w:b/>
                          <w:bCs/>
                          <w:color w:val="000000" w:themeColor="text1"/>
                          <w:kern w:val="24"/>
                          <w:sz w:val="80"/>
                          <w:szCs w:val="80"/>
                        </w:rPr>
                        <w:t xml:space="preserve">2015 </w:t>
                      </w:r>
                      <w:r>
                        <w:rPr>
                          <w:rFonts w:ascii="Arial Black" w:hAnsi="Arial Black" w:cstheme="minorBidi"/>
                          <w:b/>
                          <w:bCs/>
                          <w:color w:val="000000" w:themeColor="text1"/>
                          <w:kern w:val="24"/>
                          <w:sz w:val="96"/>
                          <w:szCs w:val="96"/>
                        </w:rPr>
                        <w:t>A</w:t>
                      </w:r>
                      <w:r>
                        <w:rPr>
                          <w:rFonts w:ascii="Arial Black" w:hAnsi="Arial Black" w:cstheme="minorBidi"/>
                          <w:b/>
                          <w:bCs/>
                          <w:color w:val="000000" w:themeColor="text1"/>
                          <w:kern w:val="24"/>
                          <w:sz w:val="72"/>
                          <w:szCs w:val="72"/>
                        </w:rPr>
                        <w:t>NNUAL</w:t>
                      </w:r>
                      <w:r>
                        <w:rPr>
                          <w:rFonts w:ascii="Arial Black" w:hAnsi="Arial Black" w:cstheme="minorBidi"/>
                          <w:b/>
                          <w:bCs/>
                          <w:color w:val="000000" w:themeColor="text1"/>
                          <w:kern w:val="24"/>
                          <w:sz w:val="80"/>
                          <w:szCs w:val="80"/>
                        </w:rPr>
                        <w:t xml:space="preserve"> </w:t>
                      </w:r>
                      <w:r>
                        <w:rPr>
                          <w:rFonts w:ascii="Arial Black" w:hAnsi="Arial Black" w:cstheme="minorBidi"/>
                          <w:b/>
                          <w:bCs/>
                          <w:color w:val="000000" w:themeColor="text1"/>
                          <w:kern w:val="24"/>
                          <w:sz w:val="96"/>
                          <w:szCs w:val="96"/>
                        </w:rPr>
                        <w:t>R</w:t>
                      </w:r>
                      <w:r>
                        <w:rPr>
                          <w:rFonts w:ascii="Arial Black" w:hAnsi="Arial Black" w:cstheme="minorBidi"/>
                          <w:b/>
                          <w:bCs/>
                          <w:color w:val="000000" w:themeColor="text1"/>
                          <w:kern w:val="24"/>
                          <w:sz w:val="72"/>
                          <w:szCs w:val="72"/>
                        </w:rPr>
                        <w:t>EPORT</w:t>
                      </w:r>
                    </w:p>
                  </w:txbxContent>
                </v:textbox>
              </v:shape>
            </w:pict>
          </mc:Fallback>
        </mc:AlternateContent>
      </w:r>
      <w:r w:rsidR="00E00F08">
        <w:rPr>
          <w:snapToGrid w:val="0"/>
          <w:color w:val="000000"/>
          <w:w w:val="0"/>
          <w:sz w:val="0"/>
          <w:szCs w:val="0"/>
          <w:u w:color="000000"/>
          <w:bdr w:val="none" w:sz="0" w:space="0" w:color="000000"/>
          <w:shd w:val="clear" w:color="000000" w:fill="000000"/>
          <w:lang w:eastAsia="x-none" w:bidi="x-none"/>
        </w:rPr>
        <w:tab/>
      </w:r>
      <w:r w:rsidR="00C63797">
        <w:rPr>
          <w:snapToGrid w:val="0"/>
          <w:color w:val="000000"/>
          <w:w w:val="0"/>
          <w:sz w:val="0"/>
          <w:szCs w:val="0"/>
          <w:u w:color="000000"/>
          <w:bdr w:val="none" w:sz="0" w:space="0" w:color="000000"/>
          <w:shd w:val="clear" w:color="000000" w:fill="000000"/>
          <w:lang w:eastAsia="x-none" w:bidi="x-none"/>
        </w:rPr>
        <w:t>Inser</w:t>
      </w:r>
      <w:r w:rsidR="00CC4018" w:rsidRPr="00CC4018">
        <w:rPr>
          <w:noProof/>
          <w:color w:val="000000"/>
          <w:sz w:val="0"/>
          <w:szCs w:val="0"/>
          <w:u w:color="000000"/>
        </w:rPr>
        <w:t xml:space="preserve"> </w:t>
      </w:r>
    </w:p>
    <w:p w:rsidR="00586013" w:rsidRPr="005F1E0B" w:rsidRDefault="007E1571" w:rsidP="00086F80">
      <w:pPr>
        <w:rPr>
          <w:rFonts w:ascii="Century Gothic" w:hAnsi="Century Gothic"/>
          <w:sz w:val="40"/>
          <w:szCs w:val="96"/>
        </w:rPr>
        <w:sectPr w:rsidR="00586013" w:rsidRPr="005F1E0B" w:rsidSect="006F74F7">
          <w:headerReference w:type="even" r:id="rId12"/>
          <w:headerReference w:type="default" r:id="rId13"/>
          <w:footerReference w:type="even" r:id="rId14"/>
          <w:headerReference w:type="first" r:id="rId15"/>
          <w:footerReference w:type="first" r:id="rId16"/>
          <w:type w:val="continuous"/>
          <w:pgSz w:w="12240" w:h="15840" w:code="1"/>
          <w:pgMar w:top="720" w:right="936" w:bottom="720" w:left="936" w:header="720" w:footer="720" w:gutter="0"/>
          <w:pgNumType w:start="1"/>
          <w:cols w:space="720"/>
          <w:docGrid w:linePitch="360"/>
        </w:sectPr>
      </w:pPr>
      <w:r>
        <w:rPr>
          <w:rFonts w:ascii="Century Gothic" w:hAnsi="Century Gothic"/>
          <w:noProof/>
          <w:sz w:val="96"/>
          <w:szCs w:val="96"/>
        </w:rPr>
        <mc:AlternateContent>
          <mc:Choice Requires="wps">
            <w:drawing>
              <wp:anchor distT="0" distB="0" distL="114300" distR="114300" simplePos="0" relativeHeight="251796992" behindDoc="0" locked="0" layoutInCell="1" allowOverlap="1" wp14:anchorId="22487EC1" wp14:editId="5233885B">
                <wp:simplePos x="0" y="0"/>
                <wp:positionH relativeFrom="column">
                  <wp:posOffset>1183640</wp:posOffset>
                </wp:positionH>
                <wp:positionV relativeFrom="paragraph">
                  <wp:posOffset>2509520</wp:posOffset>
                </wp:positionV>
                <wp:extent cx="5995670" cy="6216650"/>
                <wp:effectExtent l="0" t="0" r="5080" b="0"/>
                <wp:wrapNone/>
                <wp:docPr id="14" name="Text Box 14"/>
                <wp:cNvGraphicFramePr/>
                <a:graphic xmlns:a="http://schemas.openxmlformats.org/drawingml/2006/main">
                  <a:graphicData uri="http://schemas.microsoft.com/office/word/2010/wordprocessingShape">
                    <wps:wsp>
                      <wps:cNvSpPr txBox="1"/>
                      <wps:spPr>
                        <a:xfrm>
                          <a:off x="0" y="0"/>
                          <a:ext cx="5995670" cy="6216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80" w:rsidRDefault="00CE6E80">
                            <w:r>
                              <w:rPr>
                                <w:noProof/>
                              </w:rPr>
                              <w:drawing>
                                <wp:inline distT="0" distB="0" distL="0" distR="0" wp14:anchorId="6F52503A" wp14:editId="43DCB6EF">
                                  <wp:extent cx="5664200" cy="603270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_ARCvr_Graphic.png"/>
                                          <pic:cNvPicPr/>
                                        </pic:nvPicPr>
                                        <pic:blipFill>
                                          <a:blip r:embed="rId17">
                                            <a:extLst>
                                              <a:ext uri="{28A0092B-C50C-407E-A947-70E740481C1C}">
                                                <a14:useLocalDpi xmlns:a14="http://schemas.microsoft.com/office/drawing/2010/main" val="0"/>
                                              </a:ext>
                                            </a:extLst>
                                          </a:blip>
                                          <a:stretch>
                                            <a:fillRect/>
                                          </a:stretch>
                                        </pic:blipFill>
                                        <pic:spPr>
                                          <a:xfrm>
                                            <a:off x="0" y="0"/>
                                            <a:ext cx="5664200" cy="60327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93.2pt;margin-top:197.6pt;width:472.1pt;height:489.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" fillcolor="white [3201]" stroked="f" strokeweight=".5pt">
                <v:textbox>
                  <w:txbxContent>
                    <w:p w:rsidR="00CE6E80" w:rsidRDefault="00CE6E80">
                      <w:r>
                        <w:rPr>
                          <w:noProof/>
                        </w:rPr>
                        <w:drawing>
                          <wp:inline distT="0" distB="0" distL="0" distR="0" wp14:anchorId="6F52503A" wp14:editId="43DCB6EF">
                            <wp:extent cx="5664200" cy="603270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_ARCvr_Graphic.png"/>
                                    <pic:cNvPicPr/>
                                  </pic:nvPicPr>
                                  <pic:blipFill>
                                    <a:blip r:embed="rId18">
                                      <a:extLst>
                                        <a:ext uri="{28A0092B-C50C-407E-A947-70E740481C1C}">
                                          <a14:useLocalDpi xmlns:a14="http://schemas.microsoft.com/office/drawing/2010/main" val="0"/>
                                        </a:ext>
                                      </a:extLst>
                                    </a:blip>
                                    <a:stretch>
                                      <a:fillRect/>
                                    </a:stretch>
                                  </pic:blipFill>
                                  <pic:spPr>
                                    <a:xfrm>
                                      <a:off x="0" y="0"/>
                                      <a:ext cx="5664200" cy="6032702"/>
                                    </a:xfrm>
                                    <a:prstGeom prst="rect">
                                      <a:avLst/>
                                    </a:prstGeom>
                                  </pic:spPr>
                                </pic:pic>
                              </a:graphicData>
                            </a:graphic>
                          </wp:inline>
                        </w:drawing>
                      </w:r>
                    </w:p>
                  </w:txbxContent>
                </v:textbox>
              </v:shape>
            </w:pict>
          </mc:Fallback>
        </mc:AlternateContent>
      </w:r>
      <w:r w:rsidR="000C7877" w:rsidRPr="005F1E0B">
        <w:rPr>
          <w:rFonts w:ascii="Century Gothic" w:hAnsi="Century Gothic"/>
          <w:noProof/>
          <w:sz w:val="96"/>
          <w:szCs w:val="96"/>
        </w:rPr>
        <mc:AlternateContent>
          <mc:Choice Requires="wps">
            <w:drawing>
              <wp:anchor distT="0" distB="0" distL="114300" distR="114300" simplePos="0" relativeHeight="251798016" behindDoc="0" locked="0" layoutInCell="1" allowOverlap="1" wp14:anchorId="1E02E786" wp14:editId="7078B8B3">
                <wp:simplePos x="0" y="0"/>
                <wp:positionH relativeFrom="column">
                  <wp:posOffset>558165</wp:posOffset>
                </wp:positionH>
                <wp:positionV relativeFrom="paragraph">
                  <wp:posOffset>990600</wp:posOffset>
                </wp:positionV>
                <wp:extent cx="4892040" cy="1811020"/>
                <wp:effectExtent l="0" t="0" r="0" b="0"/>
                <wp:wrapNone/>
                <wp:docPr id="7" name="TextBox 202"/>
                <wp:cNvGraphicFramePr/>
                <a:graphic xmlns:a="http://schemas.openxmlformats.org/drawingml/2006/main">
                  <a:graphicData uri="http://schemas.microsoft.com/office/word/2010/wordprocessingShape">
                    <wps:wsp>
                      <wps:cNvSpPr txBox="1"/>
                      <wps:spPr>
                        <a:xfrm>
                          <a:off x="0" y="0"/>
                          <a:ext cx="4892040" cy="1811020"/>
                        </a:xfrm>
                        <a:prstGeom prst="rect">
                          <a:avLst/>
                        </a:prstGeom>
                        <a:noFill/>
                        <a:effectLst>
                          <a:outerShdw blurRad="101600" dist="76200" dir="2700000" algn="tl" rotWithShape="0">
                            <a:prstClr val="black">
                              <a:alpha val="30000"/>
                            </a:prstClr>
                          </a:outerShdw>
                        </a:effectLst>
                      </wps:spPr>
                      <wps:txbx>
                        <w:txbxContent>
                          <w:p w:rsidR="00CE6E80" w:rsidRDefault="00CE6E80" w:rsidP="005F1E0B">
                            <w:pPr>
                              <w:pStyle w:val="NormalWeb"/>
                            </w:pPr>
                            <w:r w:rsidRPr="000C7877">
                              <w:rPr>
                                <w:rFonts w:ascii="Arial Black" w:hAnsi="Arial Black" w:cstheme="minorBidi"/>
                                <w:b/>
                                <w:bCs/>
                                <w:color w:val="000000" w:themeColor="text1"/>
                                <w:kern w:val="24"/>
                                <w:sz w:val="72"/>
                                <w:szCs w:val="72"/>
                              </w:rPr>
                              <w:t>2015</w:t>
                            </w:r>
                            <w:r>
                              <w:rPr>
                                <w:rFonts w:ascii="Arial Black" w:hAnsi="Arial Black" w:cstheme="minorBidi"/>
                                <w:b/>
                                <w:bCs/>
                                <w:color w:val="000000" w:themeColor="text1"/>
                                <w:kern w:val="24"/>
                                <w:sz w:val="80"/>
                                <w:szCs w:val="80"/>
                              </w:rPr>
                              <w:t xml:space="preserve"> </w:t>
                            </w:r>
                            <w:r>
                              <w:rPr>
                                <w:rFonts w:ascii="Arial Black" w:hAnsi="Arial Black" w:cstheme="minorBidi"/>
                                <w:b/>
                                <w:bCs/>
                                <w:color w:val="000000" w:themeColor="text1"/>
                                <w:kern w:val="24"/>
                                <w:sz w:val="96"/>
                                <w:szCs w:val="96"/>
                              </w:rPr>
                              <w:t>A</w:t>
                            </w:r>
                            <w:r w:rsidRPr="000C7877">
                              <w:rPr>
                                <w:rFonts w:ascii="Arial Black" w:hAnsi="Arial Black" w:cstheme="minorBidi"/>
                                <w:b/>
                                <w:bCs/>
                                <w:color w:val="000000" w:themeColor="text1"/>
                                <w:kern w:val="24"/>
                                <w:sz w:val="64"/>
                                <w:szCs w:val="64"/>
                              </w:rPr>
                              <w:t>NNUAL</w:t>
                            </w:r>
                            <w:r>
                              <w:rPr>
                                <w:rFonts w:ascii="Arial Black" w:hAnsi="Arial Black" w:cstheme="minorBidi"/>
                                <w:b/>
                                <w:bCs/>
                                <w:color w:val="000000" w:themeColor="text1"/>
                                <w:kern w:val="24"/>
                                <w:sz w:val="64"/>
                                <w:szCs w:val="64"/>
                              </w:rPr>
                              <w:t xml:space="preserve"> </w:t>
                            </w:r>
                            <w:r>
                              <w:rPr>
                                <w:rFonts w:ascii="Arial Black" w:hAnsi="Arial Black" w:cstheme="minorBidi"/>
                                <w:b/>
                                <w:bCs/>
                                <w:color w:val="000000" w:themeColor="text1"/>
                                <w:kern w:val="24"/>
                                <w:sz w:val="80"/>
                                <w:szCs w:val="80"/>
                              </w:rPr>
                              <w:t xml:space="preserve">   </w:t>
                            </w:r>
                            <w:r>
                              <w:rPr>
                                <w:rFonts w:ascii="Arial Black" w:hAnsi="Arial Black" w:cstheme="minorBidi"/>
                                <w:b/>
                                <w:bCs/>
                                <w:color w:val="000000" w:themeColor="text1"/>
                                <w:kern w:val="24"/>
                                <w:sz w:val="96"/>
                                <w:szCs w:val="96"/>
                              </w:rPr>
                              <w:t>R</w:t>
                            </w:r>
                            <w:r w:rsidRPr="000C7877">
                              <w:rPr>
                                <w:rFonts w:ascii="Arial Black" w:hAnsi="Arial Black" w:cstheme="minorBidi"/>
                                <w:b/>
                                <w:bCs/>
                                <w:color w:val="000000" w:themeColor="text1"/>
                                <w:kern w:val="24"/>
                                <w:sz w:val="64"/>
                                <w:szCs w:val="64"/>
                              </w:rPr>
                              <w:t>EPORT</w:t>
                            </w:r>
                          </w:p>
                        </w:txbxContent>
                      </wps:txbx>
                      <wps:bodyPr wrap="square" rtlCol="0">
                        <a:spAutoFit/>
                      </wps:bodyPr>
                    </wps:wsp>
                  </a:graphicData>
                </a:graphic>
              </wp:anchor>
            </w:drawing>
          </mc:Choice>
          <mc:Fallback>
            <w:pict>
              <v:shape id="_x0000_s1029" type="#_x0000_t202" style="position:absolute;margin-left:43.95pt;margin-top:78pt;width:385.2pt;height:142.6pt;z-index:25179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" filled="f" stroked="f">
                <v:shadow on="t" color="black" opacity="19660f" origin="-.5,-.5" offset="1.49672mm,1.49672mm"/>
                <v:textbox style="mso-fit-shape-to-text:t">
                  <w:txbxContent>
                    <w:p w:rsidR="00CE6E80" w:rsidRDefault="00CE6E80" w:rsidP="005F1E0B">
                      <w:pPr>
                        <w:pStyle w:val="NormalWeb"/>
                      </w:pPr>
                      <w:r w:rsidRPr="000C7877">
                        <w:rPr>
                          <w:rFonts w:ascii="Arial Black" w:hAnsi="Arial Black" w:cstheme="minorBidi"/>
                          <w:b/>
                          <w:bCs/>
                          <w:color w:val="000000" w:themeColor="text1"/>
                          <w:kern w:val="24"/>
                          <w:sz w:val="72"/>
                          <w:szCs w:val="72"/>
                        </w:rPr>
                        <w:t>2015</w:t>
                      </w:r>
                      <w:r>
                        <w:rPr>
                          <w:rFonts w:ascii="Arial Black" w:hAnsi="Arial Black" w:cstheme="minorBidi"/>
                          <w:b/>
                          <w:bCs/>
                          <w:color w:val="000000" w:themeColor="text1"/>
                          <w:kern w:val="24"/>
                          <w:sz w:val="80"/>
                          <w:szCs w:val="80"/>
                        </w:rPr>
                        <w:t xml:space="preserve"> </w:t>
                      </w:r>
                      <w:r>
                        <w:rPr>
                          <w:rFonts w:ascii="Arial Black" w:hAnsi="Arial Black" w:cstheme="minorBidi"/>
                          <w:b/>
                          <w:bCs/>
                          <w:color w:val="000000" w:themeColor="text1"/>
                          <w:kern w:val="24"/>
                          <w:sz w:val="96"/>
                          <w:szCs w:val="96"/>
                        </w:rPr>
                        <w:t>A</w:t>
                      </w:r>
                      <w:r w:rsidRPr="000C7877">
                        <w:rPr>
                          <w:rFonts w:ascii="Arial Black" w:hAnsi="Arial Black" w:cstheme="minorBidi"/>
                          <w:b/>
                          <w:bCs/>
                          <w:color w:val="000000" w:themeColor="text1"/>
                          <w:kern w:val="24"/>
                          <w:sz w:val="64"/>
                          <w:szCs w:val="64"/>
                        </w:rPr>
                        <w:t>NNUAL</w:t>
                      </w:r>
                      <w:r>
                        <w:rPr>
                          <w:rFonts w:ascii="Arial Black" w:hAnsi="Arial Black" w:cstheme="minorBidi"/>
                          <w:b/>
                          <w:bCs/>
                          <w:color w:val="000000" w:themeColor="text1"/>
                          <w:kern w:val="24"/>
                          <w:sz w:val="64"/>
                          <w:szCs w:val="64"/>
                        </w:rPr>
                        <w:t xml:space="preserve"> </w:t>
                      </w:r>
                      <w:r>
                        <w:rPr>
                          <w:rFonts w:ascii="Arial Black" w:hAnsi="Arial Black" w:cstheme="minorBidi"/>
                          <w:b/>
                          <w:bCs/>
                          <w:color w:val="000000" w:themeColor="text1"/>
                          <w:kern w:val="24"/>
                          <w:sz w:val="80"/>
                          <w:szCs w:val="80"/>
                        </w:rPr>
                        <w:t xml:space="preserve">   </w:t>
                      </w:r>
                      <w:r>
                        <w:rPr>
                          <w:rFonts w:ascii="Arial Black" w:hAnsi="Arial Black" w:cstheme="minorBidi"/>
                          <w:b/>
                          <w:bCs/>
                          <w:color w:val="000000" w:themeColor="text1"/>
                          <w:kern w:val="24"/>
                          <w:sz w:val="96"/>
                          <w:szCs w:val="96"/>
                        </w:rPr>
                        <w:t>R</w:t>
                      </w:r>
                      <w:r w:rsidRPr="000C7877">
                        <w:rPr>
                          <w:rFonts w:ascii="Arial Black" w:hAnsi="Arial Black" w:cstheme="minorBidi"/>
                          <w:b/>
                          <w:bCs/>
                          <w:color w:val="000000" w:themeColor="text1"/>
                          <w:kern w:val="24"/>
                          <w:sz w:val="64"/>
                          <w:szCs w:val="64"/>
                        </w:rPr>
                        <w:t>EPORT</w:t>
                      </w:r>
                    </w:p>
                  </w:txbxContent>
                </v:textbox>
              </v:shape>
            </w:pict>
          </mc:Fallback>
        </mc:AlternateContent>
      </w:r>
      <w:r w:rsidR="00294E7C" w:rsidRPr="002D5F92">
        <w:rPr>
          <w:rFonts w:ascii="Century Gothic" w:hAnsi="Century Gothic"/>
          <w:noProof/>
          <w:sz w:val="96"/>
          <w:szCs w:val="96"/>
        </w:rPr>
        <mc:AlternateContent>
          <mc:Choice Requires="wps">
            <w:drawing>
              <wp:anchor distT="0" distB="0" distL="114300" distR="114300" simplePos="0" relativeHeight="251774464" behindDoc="0" locked="0" layoutInCell="1" allowOverlap="1" wp14:anchorId="62528DA2" wp14:editId="14105B31">
                <wp:simplePos x="0" y="0"/>
                <wp:positionH relativeFrom="column">
                  <wp:posOffset>2110740</wp:posOffset>
                </wp:positionH>
                <wp:positionV relativeFrom="paragraph">
                  <wp:posOffset>8772525</wp:posOffset>
                </wp:positionV>
                <wp:extent cx="4892040" cy="342265"/>
                <wp:effectExtent l="0" t="0" r="0" b="0"/>
                <wp:wrapNone/>
                <wp:docPr id="16" name="TextBox 12"/>
                <wp:cNvGraphicFramePr/>
                <a:graphic xmlns:a="http://schemas.openxmlformats.org/drawingml/2006/main">
                  <a:graphicData uri="http://schemas.microsoft.com/office/word/2010/wordprocessingShape">
                    <wps:wsp>
                      <wps:cNvSpPr txBox="1"/>
                      <wps:spPr>
                        <a:xfrm>
                          <a:off x="0" y="0"/>
                          <a:ext cx="4892040" cy="342265"/>
                        </a:xfrm>
                        <a:prstGeom prst="rect">
                          <a:avLst/>
                        </a:prstGeom>
                        <a:noFill/>
                        <a:effectLst>
                          <a:outerShdw blurRad="101600" dist="76200" dir="2700000" algn="tl" rotWithShape="0">
                            <a:prstClr val="black">
                              <a:alpha val="30000"/>
                            </a:prstClr>
                          </a:outerShdw>
                        </a:effectLst>
                      </wps:spPr>
                      <wps:txbx>
                        <w:txbxContent>
                          <w:p w:rsidR="00CE6E80" w:rsidRDefault="00CE6E80" w:rsidP="002D5F92">
                            <w:pPr>
                              <w:pStyle w:val="NormalWeb"/>
                            </w:pPr>
                            <w:r>
                              <w:rPr>
                                <w:rFonts w:ascii="Arial Black" w:hAnsi="Arial Black" w:cstheme="minorBidi"/>
                                <w:b/>
                                <w:bCs/>
                                <w:color w:val="000000" w:themeColor="text1"/>
                                <w:kern w:val="24"/>
                                <w:sz w:val="28"/>
                                <w:szCs w:val="28"/>
                              </w:rPr>
                              <w:t>Submitted to the Legislature January 10, 2016</w:t>
                            </w:r>
                          </w:p>
                        </w:txbxContent>
                      </wps:txbx>
                      <wps:bodyPr wrap="square" rtlCol="0">
                        <a:spAutoFit/>
                      </wps:bodyPr>
                    </wps:wsp>
                  </a:graphicData>
                </a:graphic>
              </wp:anchor>
            </w:drawing>
          </mc:Choice>
          <mc:Fallback>
            <w:pict>
              <v:shape id="TextBox 12" o:spid="_x0000_s1030" type="#_x0000_t202" style="position:absolute;margin-left:166.2pt;margin-top:690.75pt;width:385.2pt;height:26.95pt;z-index:25177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" filled="f" stroked="f">
                <v:shadow on="t" color="black" opacity="19660f" origin="-.5,-.5" offset="1.49672mm,1.49672mm"/>
                <v:textbox style="mso-fit-shape-to-text:t">
                  <w:txbxContent>
                    <w:p w:rsidR="00CE6E80" w:rsidRDefault="00CE6E80" w:rsidP="002D5F92">
                      <w:pPr>
                        <w:pStyle w:val="NormalWeb"/>
                      </w:pPr>
                      <w:r>
                        <w:rPr>
                          <w:rFonts w:ascii="Arial Black" w:hAnsi="Arial Black" w:cstheme="minorBidi"/>
                          <w:b/>
                          <w:bCs/>
                          <w:color w:val="000000" w:themeColor="text1"/>
                          <w:kern w:val="24"/>
                          <w:sz w:val="28"/>
                          <w:szCs w:val="28"/>
                        </w:rPr>
                        <w:t>Submitted to the Legislature January 10, 2016</w:t>
                      </w:r>
                    </w:p>
                  </w:txbxContent>
                </v:textbox>
              </v:shape>
            </w:pict>
          </mc:Fallback>
        </mc:AlternateContent>
      </w:r>
      <w:r w:rsidR="005F1E0B">
        <w:rPr>
          <w:rFonts w:ascii="Century Gothic" w:hAnsi="Century Gothic"/>
          <w:noProof/>
          <w:sz w:val="96"/>
          <w:szCs w:val="96"/>
        </w:rPr>
        <w:br w:type="page"/>
      </w:r>
    </w:p>
    <w:p w:rsidR="00B31424" w:rsidRDefault="00B31424" w:rsidP="00B31424">
      <w:pPr>
        <w:jc w:val="center"/>
        <w:rPr>
          <w:rFonts w:ascii="Century Gothic" w:hAnsi="Century Gothic"/>
          <w:b/>
          <w:sz w:val="32"/>
          <w:szCs w:val="32"/>
        </w:rPr>
      </w:pPr>
    </w:p>
    <w:p w:rsidR="00B31424" w:rsidRDefault="00B31424" w:rsidP="00B31424">
      <w:pPr>
        <w:jc w:val="center"/>
        <w:rPr>
          <w:rFonts w:ascii="Century Gothic" w:hAnsi="Century Gothic"/>
          <w:b/>
          <w:sz w:val="32"/>
          <w:szCs w:val="32"/>
        </w:rPr>
      </w:pPr>
    </w:p>
    <w:p w:rsidR="00B31424" w:rsidRDefault="00B31424" w:rsidP="00B31424">
      <w:pPr>
        <w:jc w:val="center"/>
        <w:rPr>
          <w:rFonts w:ascii="Century Gothic" w:hAnsi="Century Gothic"/>
          <w:b/>
          <w:sz w:val="32"/>
          <w:szCs w:val="32"/>
        </w:rPr>
      </w:pPr>
    </w:p>
    <w:p w:rsidR="00B31424" w:rsidRDefault="00B31424" w:rsidP="00B31424">
      <w:pPr>
        <w:jc w:val="center"/>
        <w:rPr>
          <w:rFonts w:ascii="Century Gothic" w:hAnsi="Century Gothic"/>
          <w:b/>
          <w:sz w:val="32"/>
          <w:szCs w:val="32"/>
        </w:rPr>
      </w:pPr>
    </w:p>
    <w:p w:rsidR="00B31424" w:rsidRDefault="00B31424" w:rsidP="00B31424">
      <w:pPr>
        <w:jc w:val="center"/>
        <w:rPr>
          <w:rFonts w:ascii="Century Gothic" w:hAnsi="Century Gothic"/>
          <w:b/>
          <w:sz w:val="32"/>
          <w:szCs w:val="32"/>
        </w:rPr>
      </w:pPr>
    </w:p>
    <w:p w:rsidR="00B31424" w:rsidRDefault="00B31424" w:rsidP="00B31424">
      <w:pPr>
        <w:jc w:val="center"/>
        <w:rPr>
          <w:rFonts w:ascii="Century Gothic" w:hAnsi="Century Gothic"/>
          <w:b/>
          <w:sz w:val="32"/>
          <w:szCs w:val="32"/>
        </w:rPr>
      </w:pPr>
    </w:p>
    <w:p w:rsidR="00B31424" w:rsidRPr="000A2B8B" w:rsidRDefault="002C6293" w:rsidP="00B31424">
      <w:pPr>
        <w:jc w:val="center"/>
        <w:rPr>
          <w:rFonts w:ascii="Neuropol" w:eastAsia="Batang" w:hAnsi="Neuropol" w:cs="Tahoma"/>
          <w:b/>
          <w:color w:val="084C6E"/>
          <w:sz w:val="28"/>
          <w:szCs w:val="28"/>
        </w:rPr>
      </w:pPr>
      <w:r w:rsidRPr="000A2B8B">
        <w:rPr>
          <w:rFonts w:ascii="Neuropol" w:eastAsia="Batang" w:hAnsi="Neuropol" w:cs="Tahoma"/>
          <w:b/>
          <w:color w:val="548DD4" w:themeColor="text2" w:themeTint="99"/>
          <w:sz w:val="28"/>
          <w:szCs w:val="28"/>
        </w:rPr>
        <w:t>O</w:t>
      </w:r>
      <w:r w:rsidR="00B31424" w:rsidRPr="000A2B8B">
        <w:rPr>
          <w:rFonts w:ascii="Neuropol" w:eastAsia="Batang" w:hAnsi="Neuropol" w:cs="Tahoma"/>
          <w:b/>
          <w:color w:val="548DD4" w:themeColor="text2" w:themeTint="99"/>
          <w:sz w:val="28"/>
          <w:szCs w:val="28"/>
        </w:rPr>
        <w:t>RA’s Statutory Mission</w:t>
      </w:r>
    </w:p>
    <w:p w:rsidR="00B31424" w:rsidRPr="009B6D58" w:rsidRDefault="00B31424" w:rsidP="00B31424">
      <w:pPr>
        <w:jc w:val="center"/>
        <w:rPr>
          <w:rFonts w:ascii="Tahoma" w:eastAsia="Batang" w:hAnsi="Tahoma" w:cs="Tahoma"/>
          <w:color w:val="084C6E"/>
          <w:sz w:val="28"/>
          <w:szCs w:val="28"/>
        </w:rPr>
      </w:pPr>
    </w:p>
    <w:p w:rsidR="00B31424" w:rsidRPr="004B0D80" w:rsidRDefault="00977DB4" w:rsidP="00B31424">
      <w:pPr>
        <w:jc w:val="center"/>
        <w:rPr>
          <w:rFonts w:ascii="Century Gothic" w:hAnsi="Century Gothic"/>
          <w:b/>
          <w:color w:val="17365D"/>
          <w:sz w:val="28"/>
          <w:szCs w:val="28"/>
        </w:rPr>
      </w:pPr>
      <w:r w:rsidRPr="00977DB4">
        <w:rPr>
          <w:rStyle w:val="Emphasis"/>
          <w:rFonts w:ascii="Arial" w:hAnsi="Arial" w:cs="Arial"/>
          <w:i w:val="0"/>
          <w:color w:val="505050"/>
          <w:sz w:val="20"/>
          <w:szCs w:val="19"/>
        </w:rPr>
        <w:t xml:space="preserve">To obtain the lowest possible rate for service </w:t>
      </w:r>
      <w:r>
        <w:rPr>
          <w:rStyle w:val="Emphasis"/>
          <w:rFonts w:ascii="Arial" w:hAnsi="Arial" w:cs="Arial"/>
          <w:i w:val="0"/>
          <w:color w:val="505050"/>
          <w:sz w:val="20"/>
          <w:szCs w:val="19"/>
        </w:rPr>
        <w:br/>
      </w:r>
      <w:r w:rsidRPr="00977DB4">
        <w:rPr>
          <w:rStyle w:val="Emphasis"/>
          <w:rFonts w:ascii="Arial" w:hAnsi="Arial" w:cs="Arial"/>
          <w:i w:val="0"/>
          <w:color w:val="505050"/>
          <w:sz w:val="20"/>
          <w:szCs w:val="19"/>
        </w:rPr>
        <w:t>consistent with reliable and safe service levels. </w:t>
      </w:r>
      <w:r>
        <w:rPr>
          <w:rStyle w:val="Emphasis"/>
          <w:rFonts w:ascii="Arial" w:hAnsi="Arial" w:cs="Arial"/>
          <w:i w:val="0"/>
          <w:color w:val="505050"/>
          <w:sz w:val="20"/>
          <w:szCs w:val="19"/>
        </w:rPr>
        <w:br/>
      </w:r>
      <w:r w:rsidRPr="00977DB4">
        <w:rPr>
          <w:rStyle w:val="Emphasis"/>
          <w:rFonts w:ascii="Arial" w:hAnsi="Arial" w:cs="Arial"/>
          <w:i w:val="0"/>
          <w:color w:val="505050"/>
          <w:sz w:val="20"/>
          <w:szCs w:val="19"/>
        </w:rPr>
        <w:t xml:space="preserve"> In fulfilling this goal, ORA also advocates for customer </w:t>
      </w:r>
      <w:r>
        <w:rPr>
          <w:rStyle w:val="Emphasis"/>
          <w:rFonts w:ascii="Arial" w:hAnsi="Arial" w:cs="Arial"/>
          <w:i w:val="0"/>
          <w:color w:val="505050"/>
          <w:sz w:val="20"/>
          <w:szCs w:val="19"/>
        </w:rPr>
        <w:br/>
      </w:r>
      <w:r w:rsidRPr="00977DB4">
        <w:rPr>
          <w:rStyle w:val="Emphasis"/>
          <w:rFonts w:ascii="Arial" w:hAnsi="Arial" w:cs="Arial"/>
          <w:i w:val="0"/>
          <w:color w:val="505050"/>
          <w:sz w:val="20"/>
          <w:szCs w:val="19"/>
        </w:rPr>
        <w:t>and environmental protections.</w:t>
      </w:r>
      <w:r w:rsidRPr="00977DB4">
        <w:rPr>
          <w:rFonts w:ascii="Arial" w:hAnsi="Arial" w:cs="Arial"/>
          <w:i/>
          <w:color w:val="505050"/>
          <w:sz w:val="20"/>
          <w:szCs w:val="19"/>
        </w:rPr>
        <w:t> </w:t>
      </w:r>
    </w:p>
    <w:p w:rsidR="00B31424" w:rsidRPr="004B0D80" w:rsidRDefault="00B31424" w:rsidP="00B31424">
      <w:pPr>
        <w:jc w:val="center"/>
        <w:rPr>
          <w:rFonts w:ascii="Century Gothic" w:hAnsi="Century Gothic"/>
          <w:b/>
          <w:color w:val="17365D"/>
          <w:sz w:val="28"/>
          <w:szCs w:val="28"/>
        </w:rPr>
      </w:pPr>
    </w:p>
    <w:p w:rsidR="00B31424" w:rsidRPr="004B0D80" w:rsidRDefault="00B31424" w:rsidP="00B31424">
      <w:pPr>
        <w:jc w:val="center"/>
        <w:rPr>
          <w:rFonts w:ascii="Century Gothic" w:hAnsi="Century Gothic"/>
          <w:b/>
          <w:color w:val="17365D"/>
          <w:sz w:val="28"/>
          <w:szCs w:val="28"/>
        </w:rPr>
      </w:pPr>
    </w:p>
    <w:p w:rsidR="00B31424" w:rsidRPr="004B0D80" w:rsidRDefault="00564435" w:rsidP="00AC66F7">
      <w:pPr>
        <w:jc w:val="center"/>
        <w:rPr>
          <w:rFonts w:ascii="Century Gothic" w:hAnsi="Century Gothic"/>
          <w:b/>
          <w:color w:val="17365D"/>
          <w:sz w:val="28"/>
          <w:szCs w:val="28"/>
        </w:rPr>
      </w:pPr>
      <w:r>
        <w:rPr>
          <w:rFonts w:ascii="Century Gothic" w:hAnsi="Century Gothic"/>
          <w:b/>
          <w:noProof/>
          <w:color w:val="17365D"/>
          <w:sz w:val="28"/>
          <w:szCs w:val="28"/>
        </w:rPr>
        <w:drawing>
          <wp:inline distT="0" distB="0" distL="0" distR="0" wp14:anchorId="52872A63" wp14:editId="2671EBA9">
            <wp:extent cx="1550504" cy="15505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 logo without sea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0504" cy="1550504"/>
                    </a:xfrm>
                    <a:prstGeom prst="rect">
                      <a:avLst/>
                    </a:prstGeom>
                  </pic:spPr>
                </pic:pic>
              </a:graphicData>
            </a:graphic>
          </wp:inline>
        </w:drawing>
      </w:r>
    </w:p>
    <w:p w:rsidR="00B31424" w:rsidRPr="004B0D80" w:rsidRDefault="00B31424" w:rsidP="00B31424">
      <w:pPr>
        <w:jc w:val="center"/>
        <w:rPr>
          <w:rFonts w:ascii="Century Gothic" w:hAnsi="Century Gothic"/>
          <w:b/>
          <w:color w:val="17365D"/>
          <w:sz w:val="28"/>
          <w:szCs w:val="28"/>
        </w:rPr>
      </w:pPr>
    </w:p>
    <w:p w:rsidR="00B31424" w:rsidRPr="004B0D80" w:rsidRDefault="00B31424" w:rsidP="00B31424">
      <w:pPr>
        <w:jc w:val="center"/>
        <w:rPr>
          <w:rFonts w:ascii="Century Gothic" w:hAnsi="Century Gothic"/>
          <w:b/>
          <w:color w:val="17365D"/>
          <w:sz w:val="28"/>
          <w:szCs w:val="28"/>
        </w:rPr>
      </w:pPr>
    </w:p>
    <w:p w:rsidR="00B31424" w:rsidRPr="004B0D80" w:rsidRDefault="00B31424" w:rsidP="00B31424">
      <w:pPr>
        <w:jc w:val="center"/>
        <w:rPr>
          <w:rFonts w:ascii="Century Gothic" w:hAnsi="Century Gothic"/>
          <w:b/>
          <w:color w:val="17365D"/>
          <w:sz w:val="28"/>
          <w:szCs w:val="28"/>
        </w:rPr>
      </w:pPr>
    </w:p>
    <w:p w:rsidR="00B31424" w:rsidRPr="004B0D80" w:rsidRDefault="00B31424" w:rsidP="00B31424">
      <w:pPr>
        <w:jc w:val="center"/>
        <w:rPr>
          <w:rFonts w:ascii="Century Gothic" w:hAnsi="Century Gothic"/>
          <w:b/>
          <w:color w:val="17365D"/>
          <w:sz w:val="28"/>
          <w:szCs w:val="28"/>
        </w:rPr>
      </w:pPr>
    </w:p>
    <w:p w:rsidR="00B31424" w:rsidRPr="004B0D80" w:rsidRDefault="00B31424" w:rsidP="00B31424">
      <w:pPr>
        <w:jc w:val="center"/>
        <w:rPr>
          <w:rFonts w:ascii="Century Gothic" w:hAnsi="Century Gothic"/>
          <w:b/>
          <w:color w:val="17365D"/>
          <w:sz w:val="28"/>
          <w:szCs w:val="28"/>
        </w:rPr>
      </w:pPr>
    </w:p>
    <w:p w:rsidR="00B31424" w:rsidRPr="004B0D80" w:rsidRDefault="00B31424" w:rsidP="00B31424">
      <w:pPr>
        <w:jc w:val="center"/>
        <w:rPr>
          <w:rFonts w:ascii="Century Gothic" w:hAnsi="Century Gothic"/>
          <w:b/>
          <w:color w:val="17365D"/>
          <w:sz w:val="28"/>
          <w:szCs w:val="28"/>
        </w:rPr>
      </w:pPr>
    </w:p>
    <w:p w:rsidR="00B31424" w:rsidRPr="004B0D80" w:rsidRDefault="00B31424" w:rsidP="00B31424">
      <w:pPr>
        <w:jc w:val="center"/>
        <w:rPr>
          <w:rFonts w:ascii="Century Gothic" w:hAnsi="Century Gothic"/>
          <w:b/>
          <w:color w:val="17365D"/>
          <w:sz w:val="28"/>
          <w:szCs w:val="28"/>
        </w:rPr>
      </w:pPr>
    </w:p>
    <w:p w:rsidR="00B31424" w:rsidRPr="004B0D80" w:rsidRDefault="00B31424" w:rsidP="00B31424">
      <w:pPr>
        <w:jc w:val="center"/>
        <w:rPr>
          <w:rFonts w:ascii="Century Gothic" w:hAnsi="Century Gothic"/>
          <w:b/>
          <w:color w:val="17365D"/>
          <w:sz w:val="28"/>
          <w:szCs w:val="28"/>
        </w:rPr>
      </w:pPr>
    </w:p>
    <w:p w:rsidR="00B31424" w:rsidRPr="004B0D80" w:rsidRDefault="00B31424" w:rsidP="00B31424">
      <w:pPr>
        <w:jc w:val="center"/>
        <w:rPr>
          <w:rFonts w:ascii="Century Gothic" w:hAnsi="Century Gothic"/>
          <w:b/>
          <w:color w:val="17365D"/>
          <w:sz w:val="28"/>
          <w:szCs w:val="28"/>
        </w:rPr>
      </w:pPr>
    </w:p>
    <w:p w:rsidR="0002251B" w:rsidRDefault="0002251B" w:rsidP="00B31424">
      <w:pPr>
        <w:jc w:val="center"/>
        <w:rPr>
          <w:rFonts w:ascii="Century Gothic" w:hAnsi="Century Gothic"/>
          <w:b/>
          <w:color w:val="17365D"/>
          <w:sz w:val="28"/>
          <w:szCs w:val="28"/>
        </w:rPr>
      </w:pPr>
    </w:p>
    <w:p w:rsidR="0002251B" w:rsidRDefault="0002251B" w:rsidP="00B31424">
      <w:pPr>
        <w:jc w:val="center"/>
        <w:rPr>
          <w:rFonts w:ascii="Century Gothic" w:hAnsi="Century Gothic"/>
          <w:b/>
          <w:color w:val="17365D"/>
          <w:sz w:val="28"/>
          <w:szCs w:val="28"/>
        </w:rPr>
      </w:pPr>
    </w:p>
    <w:p w:rsidR="00DC080B" w:rsidRDefault="00DC080B" w:rsidP="00B31424">
      <w:pPr>
        <w:jc w:val="center"/>
        <w:rPr>
          <w:rFonts w:ascii="Century Gothic" w:hAnsi="Century Gothic"/>
          <w:b/>
          <w:color w:val="17365D"/>
        </w:rPr>
      </w:pPr>
    </w:p>
    <w:p w:rsidR="00DC080B" w:rsidRDefault="00DC080B" w:rsidP="00B31424">
      <w:pPr>
        <w:jc w:val="center"/>
        <w:rPr>
          <w:rFonts w:ascii="Century Gothic" w:hAnsi="Century Gothic"/>
          <w:b/>
          <w:color w:val="17365D"/>
        </w:rPr>
      </w:pPr>
    </w:p>
    <w:p w:rsidR="00DC080B" w:rsidRDefault="00DC080B" w:rsidP="00B31424">
      <w:pPr>
        <w:jc w:val="center"/>
        <w:rPr>
          <w:rFonts w:ascii="Century Gothic" w:hAnsi="Century Gothic"/>
          <w:b/>
          <w:color w:val="17365D"/>
        </w:rPr>
      </w:pPr>
    </w:p>
    <w:p w:rsidR="00DC080B" w:rsidRDefault="00DC080B" w:rsidP="00B31424">
      <w:pPr>
        <w:jc w:val="center"/>
        <w:rPr>
          <w:rFonts w:ascii="Century Gothic" w:hAnsi="Century Gothic"/>
          <w:b/>
          <w:color w:val="17365D"/>
        </w:rPr>
      </w:pPr>
    </w:p>
    <w:p w:rsidR="00DC080B" w:rsidRPr="00D12D52" w:rsidRDefault="00DC080B" w:rsidP="00B31424">
      <w:pPr>
        <w:jc w:val="center"/>
        <w:rPr>
          <w:rFonts w:ascii="Century Gothic" w:hAnsi="Century Gothic"/>
          <w:b/>
          <w:color w:val="17365D"/>
          <w:sz w:val="22"/>
        </w:rPr>
      </w:pPr>
    </w:p>
    <w:p w:rsidR="00B31424" w:rsidRPr="009B6D58" w:rsidRDefault="00B31424" w:rsidP="000F1E64">
      <w:pPr>
        <w:spacing w:after="120"/>
        <w:jc w:val="center"/>
        <w:rPr>
          <w:rFonts w:ascii="Trebuchet MS" w:hAnsi="Trebuchet MS" w:cs="Arial"/>
          <w:b/>
          <w:color w:val="004F76"/>
          <w:sz w:val="20"/>
          <w:szCs w:val="22"/>
        </w:rPr>
      </w:pPr>
      <w:r w:rsidRPr="009B6D58">
        <w:rPr>
          <w:rFonts w:ascii="Trebuchet MS" w:hAnsi="Trebuchet MS" w:cs="Arial"/>
          <w:b/>
          <w:color w:val="004F76"/>
          <w:sz w:val="20"/>
          <w:szCs w:val="22"/>
        </w:rPr>
        <w:t>Edited by Cheryl Cox</w:t>
      </w:r>
    </w:p>
    <w:p w:rsidR="00030CD6" w:rsidRDefault="00FF5161" w:rsidP="00B31424">
      <w:pPr>
        <w:jc w:val="center"/>
        <w:rPr>
          <w:rFonts w:ascii="Trebuchet MS" w:hAnsi="Trebuchet MS" w:cs="Arial"/>
          <w:b/>
          <w:sz w:val="18"/>
          <w:szCs w:val="22"/>
        </w:rPr>
        <w:sectPr w:rsidR="00030CD6" w:rsidSect="003D4D3D">
          <w:headerReference w:type="even" r:id="rId20"/>
          <w:footerReference w:type="even" r:id="rId21"/>
          <w:type w:val="evenPage"/>
          <w:pgSz w:w="12240" w:h="15840" w:code="1"/>
          <w:pgMar w:top="1080" w:right="936" w:bottom="1080" w:left="936" w:header="720" w:footer="432" w:gutter="0"/>
          <w:pgNumType w:start="1"/>
          <w:cols w:space="720"/>
          <w:titlePg/>
          <w:docGrid w:linePitch="360"/>
        </w:sectPr>
      </w:pPr>
      <w:r w:rsidRPr="009B6D58">
        <w:rPr>
          <w:rFonts w:ascii="Trebuchet MS" w:hAnsi="Trebuchet MS" w:cs="Arial"/>
          <w:b/>
          <w:sz w:val="18"/>
          <w:szCs w:val="22"/>
        </w:rPr>
        <w:t>w</w:t>
      </w:r>
      <w:r w:rsidR="000E7F1C" w:rsidRPr="009B6D58">
        <w:rPr>
          <w:rFonts w:ascii="Trebuchet MS" w:hAnsi="Trebuchet MS" w:cs="Arial"/>
          <w:b/>
          <w:sz w:val="18"/>
          <w:szCs w:val="22"/>
        </w:rPr>
        <w:t>ith</w:t>
      </w:r>
      <w:r w:rsidRPr="009B6D58">
        <w:rPr>
          <w:rFonts w:ascii="Trebuchet MS" w:hAnsi="Trebuchet MS" w:cs="Arial"/>
          <w:b/>
          <w:sz w:val="18"/>
          <w:szCs w:val="22"/>
        </w:rPr>
        <w:t xml:space="preserve"> contributions by Charmian Desales</w:t>
      </w:r>
      <w:r w:rsidR="000F1E64" w:rsidRPr="009B6D58">
        <w:rPr>
          <w:rFonts w:ascii="Trebuchet MS" w:hAnsi="Trebuchet MS" w:cs="Arial"/>
          <w:b/>
          <w:sz w:val="18"/>
          <w:szCs w:val="22"/>
        </w:rPr>
        <w:t xml:space="preserve"> and Dan Hartmann</w:t>
      </w:r>
    </w:p>
    <w:p w:rsidR="003A74D5" w:rsidRDefault="003A74D5" w:rsidP="00B31424">
      <w:pPr>
        <w:jc w:val="center"/>
        <w:rPr>
          <w:rFonts w:ascii="Century Gothic" w:hAnsi="Century Gothic"/>
          <w:b/>
          <w:color w:val="00B0F0"/>
          <w:sz w:val="20"/>
          <w:szCs w:val="20"/>
        </w:rPr>
      </w:pPr>
    </w:p>
    <w:p w:rsidR="003A74D5" w:rsidRDefault="003A74D5" w:rsidP="00B31424">
      <w:pPr>
        <w:jc w:val="center"/>
        <w:rPr>
          <w:rFonts w:ascii="Century Gothic" w:hAnsi="Century Gothic"/>
          <w:b/>
          <w:color w:val="00B0F0"/>
          <w:sz w:val="20"/>
          <w:szCs w:val="20"/>
        </w:rPr>
      </w:pPr>
    </w:p>
    <w:p w:rsidR="003A74D5" w:rsidRPr="003A74D5" w:rsidRDefault="003A74D5" w:rsidP="00B31424">
      <w:pPr>
        <w:jc w:val="center"/>
        <w:rPr>
          <w:rFonts w:ascii="Century Gothic" w:hAnsi="Century Gothic"/>
          <w:b/>
          <w:color w:val="00B0F0"/>
          <w:sz w:val="20"/>
          <w:szCs w:val="20"/>
        </w:rPr>
      </w:pPr>
    </w:p>
    <w:p w:rsidR="00B31424" w:rsidRDefault="0048295A" w:rsidP="00B31424">
      <w:pPr>
        <w:jc w:val="center"/>
        <w:rPr>
          <w:rFonts w:ascii="Century Gothic" w:hAnsi="Century Gothic"/>
          <w:b/>
          <w:color w:val="00B0F0"/>
          <w:sz w:val="72"/>
          <w:szCs w:val="72"/>
        </w:rPr>
      </w:pPr>
      <w:r>
        <w:rPr>
          <w:rFonts w:ascii="Century Gothic" w:hAnsi="Century Gothic"/>
          <w:b/>
          <w:noProof/>
          <w:color w:val="00B0F0"/>
          <w:sz w:val="72"/>
          <w:szCs w:val="72"/>
        </w:rPr>
        <mc:AlternateContent>
          <mc:Choice Requires="wps">
            <w:drawing>
              <wp:anchor distT="0" distB="457200" distL="114300" distR="114300" simplePos="0" relativeHeight="251666944" behindDoc="0" locked="0" layoutInCell="1" allowOverlap="1" wp14:anchorId="7B6A881C" wp14:editId="40F49295">
                <wp:simplePos x="0" y="0"/>
                <wp:positionH relativeFrom="column">
                  <wp:posOffset>71120</wp:posOffset>
                </wp:positionH>
                <wp:positionV relativeFrom="paragraph">
                  <wp:posOffset>215900</wp:posOffset>
                </wp:positionV>
                <wp:extent cx="297815" cy="266700"/>
                <wp:effectExtent l="4445" t="0" r="3175" b="3810"/>
                <wp:wrapNone/>
                <wp:docPr id="5154" name="Text Box 5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E6E80" w:rsidRDefault="00CE6E8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65" o:spid="_x0000_s1031" type="#_x0000_t202" style="position:absolute;left:0;text-align:left;margin-left:5.6pt;margin-top:17pt;width:23.45pt;height:21pt;z-index:251666944;visibility:visible;mso-wrap-style:none;mso-width-percent:0;mso-height-percent:0;mso-wrap-distance-left:9pt;mso-wrap-distance-top:0;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" filled="f" stroked="f">
                <v:textbox style="mso-fit-shape-to-text:t">
                  <w:txbxContent>
                    <w:p w:rsidR="00CE6E80" w:rsidRDefault="00CE6E80"/>
                  </w:txbxContent>
                </v:textbox>
              </v:shape>
            </w:pict>
          </mc:Fallback>
        </mc:AlternateContent>
      </w:r>
    </w:p>
    <w:p w:rsidR="00021A6F" w:rsidRDefault="00021A6F" w:rsidP="00B31424">
      <w:pPr>
        <w:jc w:val="center"/>
        <w:rPr>
          <w:rFonts w:ascii="Century Gothic" w:hAnsi="Century Gothic"/>
          <w:b/>
          <w:sz w:val="22"/>
          <w:szCs w:val="22"/>
        </w:rPr>
      </w:pPr>
    </w:p>
    <w:p w:rsidR="00021A6F" w:rsidRDefault="00021A6F" w:rsidP="00B31424">
      <w:pPr>
        <w:jc w:val="center"/>
        <w:rPr>
          <w:rFonts w:ascii="Century Gothic" w:hAnsi="Century Gothic"/>
          <w:b/>
          <w:sz w:val="22"/>
          <w:szCs w:val="22"/>
        </w:rPr>
      </w:pPr>
    </w:p>
    <w:p w:rsidR="00B31424" w:rsidRDefault="00B31424" w:rsidP="00021A6F">
      <w:pPr>
        <w:jc w:val="right"/>
        <w:rPr>
          <w:rFonts w:ascii="Century Gothic" w:hAnsi="Century Gothic"/>
          <w:b/>
          <w:sz w:val="22"/>
          <w:szCs w:val="22"/>
        </w:rPr>
      </w:pPr>
    </w:p>
    <w:p w:rsidR="009B6D58" w:rsidRDefault="00CD3788" w:rsidP="00007002">
      <w:pPr>
        <w:jc w:val="center"/>
        <w:rPr>
          <w:rFonts w:ascii="Century Gothic" w:hAnsi="Century Gothic"/>
          <w:b/>
          <w:noProof/>
          <w:sz w:val="22"/>
          <w:szCs w:val="22"/>
        </w:rPr>
      </w:pPr>
      <w:r>
        <w:rPr>
          <w:noProof/>
        </w:rPr>
        <w:drawing>
          <wp:inline distT="0" distB="0" distL="0" distR="0" wp14:anchorId="01A83413" wp14:editId="2CE27D7E">
            <wp:extent cx="6583680" cy="548640"/>
            <wp:effectExtent l="0" t="0" r="7620" b="3810"/>
            <wp:docPr id="12" name="Picture 12" descr="newbannerFINAL3_rg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bannerFINAL3_rgb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83680" cy="548640"/>
                    </a:xfrm>
                    <a:prstGeom prst="rect">
                      <a:avLst/>
                    </a:prstGeom>
                    <a:noFill/>
                    <a:ln>
                      <a:noFill/>
                    </a:ln>
                  </pic:spPr>
                </pic:pic>
              </a:graphicData>
            </a:graphic>
          </wp:inline>
        </w:drawing>
      </w:r>
    </w:p>
    <w:p w:rsidR="009B6D58" w:rsidRDefault="009B6D58" w:rsidP="00007002">
      <w:pPr>
        <w:jc w:val="center"/>
        <w:rPr>
          <w:rFonts w:ascii="Century Gothic" w:hAnsi="Century Gothic"/>
          <w:b/>
          <w:noProof/>
          <w:sz w:val="22"/>
          <w:szCs w:val="22"/>
        </w:rPr>
      </w:pPr>
    </w:p>
    <w:p w:rsidR="009B6D58" w:rsidRDefault="009B6D58" w:rsidP="00007002">
      <w:pPr>
        <w:jc w:val="center"/>
        <w:rPr>
          <w:rFonts w:ascii="Century Gothic" w:hAnsi="Century Gothic"/>
          <w:b/>
          <w:noProof/>
          <w:sz w:val="22"/>
          <w:szCs w:val="22"/>
        </w:rPr>
      </w:pPr>
    </w:p>
    <w:p w:rsidR="009B6D58" w:rsidRDefault="009B6D58" w:rsidP="00007002">
      <w:pPr>
        <w:jc w:val="center"/>
        <w:rPr>
          <w:rFonts w:ascii="Century Gothic" w:hAnsi="Century Gothic"/>
          <w:b/>
          <w:noProof/>
          <w:sz w:val="22"/>
          <w:szCs w:val="22"/>
        </w:rPr>
      </w:pPr>
    </w:p>
    <w:p w:rsidR="009B6D58" w:rsidRPr="009B6D58" w:rsidRDefault="009B6D58" w:rsidP="00007002">
      <w:pPr>
        <w:jc w:val="center"/>
        <w:rPr>
          <w:rFonts w:ascii="Trebuchet MS" w:hAnsi="Trebuchet MS"/>
          <w:b/>
          <w:noProof/>
          <w:sz w:val="22"/>
          <w:szCs w:val="22"/>
        </w:rPr>
      </w:pPr>
    </w:p>
    <w:p w:rsidR="00B9072E" w:rsidRDefault="00CD3788" w:rsidP="00007002">
      <w:pPr>
        <w:jc w:val="center"/>
        <w:rPr>
          <w:rFonts w:ascii="Neuropol" w:hAnsi="Neuropol"/>
          <w:b/>
          <w:noProof/>
          <w:sz w:val="72"/>
          <w:szCs w:val="72"/>
        </w:rPr>
      </w:pPr>
      <w:r w:rsidRPr="009B6D58">
        <w:rPr>
          <w:rFonts w:ascii="Neuropol" w:hAnsi="Neuropol"/>
          <w:b/>
          <w:noProof/>
          <w:sz w:val="72"/>
          <w:szCs w:val="72"/>
        </w:rPr>
        <mc:AlternateContent>
          <mc:Choice Requires="wps">
            <w:drawing>
              <wp:anchor distT="0" distB="0" distL="114300" distR="114300" simplePos="0" relativeHeight="251647488" behindDoc="0" locked="0" layoutInCell="1" allowOverlap="1" wp14:anchorId="07F51448" wp14:editId="6017D466">
                <wp:simplePos x="0" y="0"/>
                <wp:positionH relativeFrom="column">
                  <wp:posOffset>668020</wp:posOffset>
                </wp:positionH>
                <wp:positionV relativeFrom="paragraph">
                  <wp:posOffset>864870</wp:posOffset>
                </wp:positionV>
                <wp:extent cx="5329555" cy="276860"/>
                <wp:effectExtent l="0" t="0" r="0" b="0"/>
                <wp:wrapNone/>
                <wp:docPr id="5153"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9555" cy="276860"/>
                        </a:xfrm>
                        <a:prstGeom prst="rect">
                          <a:avLst/>
                        </a:prstGeom>
                        <a:noFill/>
                      </wps:spPr>
                      <wps:txbx>
                        <w:txbxContent>
                          <w:p w:rsidR="00CE6E80" w:rsidRPr="0035360D" w:rsidRDefault="00CE6E80" w:rsidP="004A739F">
                            <w:pPr>
                              <w:pStyle w:val="NormalWeb"/>
                              <w:jc w:val="center"/>
                              <w:rPr>
                                <w:rFonts w:ascii="Arial" w:hAnsi="Arial" w:cs="Arial"/>
                                <w:color w:val="548DD4" w:themeColor="text2" w:themeTint="99"/>
                                <w:sz w:val="22"/>
                              </w:rPr>
                            </w:pPr>
                            <w:r w:rsidRPr="0035360D">
                              <w:rPr>
                                <w:rFonts w:ascii="Arial" w:hAnsi="Arial" w:cs="Arial"/>
                                <w:b/>
                                <w:bCs/>
                                <w:color w:val="548DD4" w:themeColor="text2" w:themeTint="99"/>
                                <w:kern w:val="24"/>
                                <w:sz w:val="28"/>
                                <w:szCs w:val="32"/>
                              </w:rPr>
                              <w:t>Submitted to the Legislature January 10, 2016</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16" o:spid="_x0000_s1032" type="#_x0000_t202" style="position:absolute;left:0;text-align:left;margin-left:52.6pt;margin-top:68.1pt;width:419.65pt;height:2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" filled="f" stroked="f">
                <v:path arrowok="t"/>
                <v:textbox style="mso-fit-shape-to-text:t">
                  <w:txbxContent>
                    <w:p w:rsidR="00CE6E80" w:rsidRPr="0035360D" w:rsidRDefault="00CE6E80" w:rsidP="004A739F">
                      <w:pPr>
                        <w:pStyle w:val="NormalWeb"/>
                        <w:jc w:val="center"/>
                        <w:rPr>
                          <w:rFonts w:ascii="Arial" w:hAnsi="Arial" w:cs="Arial"/>
                          <w:color w:val="548DD4" w:themeColor="text2" w:themeTint="99"/>
                          <w:sz w:val="22"/>
                        </w:rPr>
                      </w:pPr>
                      <w:r w:rsidRPr="0035360D">
                        <w:rPr>
                          <w:rFonts w:ascii="Arial" w:hAnsi="Arial" w:cs="Arial"/>
                          <w:b/>
                          <w:bCs/>
                          <w:color w:val="548DD4" w:themeColor="text2" w:themeTint="99"/>
                          <w:kern w:val="24"/>
                          <w:sz w:val="28"/>
                          <w:szCs w:val="32"/>
                        </w:rPr>
                        <w:t>Submitted to the Legislature January 10, 2016</w:t>
                      </w:r>
                    </w:p>
                  </w:txbxContent>
                </v:textbox>
              </v:shape>
            </w:pict>
          </mc:Fallback>
        </mc:AlternateContent>
      </w:r>
      <w:r w:rsidR="00AC66F7">
        <w:rPr>
          <w:rFonts w:ascii="Neuropol" w:hAnsi="Neuropol"/>
          <w:b/>
          <w:noProof/>
          <w:sz w:val="72"/>
          <w:szCs w:val="72"/>
        </w:rPr>
        <w:t>2015</w:t>
      </w:r>
      <w:r w:rsidR="009B6D58" w:rsidRPr="009B6D58">
        <w:rPr>
          <w:rFonts w:ascii="Neuropol" w:hAnsi="Neuropol"/>
          <w:b/>
          <w:noProof/>
          <w:sz w:val="72"/>
          <w:szCs w:val="72"/>
        </w:rPr>
        <w:t xml:space="preserve"> Annual Report</w:t>
      </w:r>
    </w:p>
    <w:p w:rsidR="00B9072E" w:rsidRDefault="00B9072E" w:rsidP="00007002">
      <w:pPr>
        <w:jc w:val="center"/>
        <w:rPr>
          <w:rFonts w:ascii="Neuropol" w:hAnsi="Neuropol"/>
          <w:b/>
          <w:noProof/>
          <w:sz w:val="72"/>
          <w:szCs w:val="72"/>
        </w:rPr>
      </w:pPr>
    </w:p>
    <w:p w:rsidR="00B9072E" w:rsidRDefault="00B9072E" w:rsidP="00007002">
      <w:pPr>
        <w:jc w:val="center"/>
        <w:rPr>
          <w:rFonts w:ascii="Neuropol" w:hAnsi="Neuropol"/>
          <w:b/>
          <w:noProof/>
          <w:sz w:val="28"/>
          <w:szCs w:val="28"/>
        </w:rPr>
      </w:pPr>
    </w:p>
    <w:p w:rsidR="002045A6" w:rsidRPr="0035360D" w:rsidRDefault="00B9072E" w:rsidP="00007002">
      <w:pPr>
        <w:jc w:val="center"/>
        <w:rPr>
          <w:rFonts w:ascii="Arial" w:hAnsi="Arial" w:cs="Arial"/>
          <w:b/>
          <w:sz w:val="72"/>
          <w:szCs w:val="72"/>
        </w:rPr>
      </w:pPr>
      <w:r w:rsidRPr="0035360D">
        <w:rPr>
          <w:rFonts w:ascii="Arial" w:hAnsi="Arial" w:cs="Arial"/>
          <w:b/>
          <w:noProof/>
          <w:sz w:val="28"/>
          <w:szCs w:val="28"/>
        </w:rPr>
        <w:t>www.ora.ca.gov/AR2015.aspx</w:t>
      </w:r>
      <w:r w:rsidR="00007002" w:rsidRPr="0035360D">
        <w:rPr>
          <w:rFonts w:ascii="Arial" w:hAnsi="Arial" w:cs="Arial"/>
          <w:b/>
          <w:sz w:val="72"/>
          <w:szCs w:val="72"/>
        </w:rPr>
        <w:br w:type="page"/>
      </w:r>
    </w:p>
    <w:p w:rsidR="002045A6" w:rsidRDefault="00972055" w:rsidP="008B5629">
      <w:pPr>
        <w:spacing w:line="360" w:lineRule="auto"/>
        <w:rPr>
          <w:rFonts w:ascii="Century Gothic" w:hAnsi="Century Gothic" w:cs="Arial"/>
          <w:sz w:val="20"/>
          <w:szCs w:val="20"/>
        </w:rPr>
      </w:pPr>
      <w:r>
        <w:rPr>
          <w:rFonts w:ascii="Century Gothic" w:hAnsi="Century Gothic" w:cs="Arial"/>
          <w:noProof/>
          <w:sz w:val="20"/>
          <w:szCs w:val="20"/>
        </w:rPr>
        <w:lastRenderedPageBreak/>
        <mc:AlternateContent>
          <mc:Choice Requires="wps">
            <w:drawing>
              <wp:anchor distT="0" distB="0" distL="114300" distR="114300" simplePos="0" relativeHeight="251675136" behindDoc="0" locked="0" layoutInCell="1" allowOverlap="1" wp14:anchorId="0D3C4521" wp14:editId="5C34CCB7">
                <wp:simplePos x="0" y="0"/>
                <wp:positionH relativeFrom="column">
                  <wp:posOffset>1957705</wp:posOffset>
                </wp:positionH>
                <wp:positionV relativeFrom="paragraph">
                  <wp:posOffset>-50275</wp:posOffset>
                </wp:positionV>
                <wp:extent cx="2726055" cy="1383030"/>
                <wp:effectExtent l="0" t="0" r="0" b="7620"/>
                <wp:wrapNone/>
                <wp:docPr id="63" name="Rectangle 5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055" cy="13830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E6E80" w:rsidRPr="00183151" w:rsidRDefault="00CE6E80" w:rsidP="00F35198">
                            <w:pPr>
                              <w:pStyle w:val="Heading2"/>
                              <w:jc w:val="center"/>
                              <w:rPr>
                                <w:rFonts w:ascii="Bookman Old Style" w:hAnsi="Bookman Old Style"/>
                                <w:sz w:val="44"/>
                              </w:rPr>
                            </w:pPr>
                            <w:r w:rsidRPr="00183151">
                              <w:rPr>
                                <w:rFonts w:ascii="Bookman Old Style" w:hAnsi="Bookman Old Style"/>
                                <w:sz w:val="44"/>
                              </w:rPr>
                              <w:t>ORA</w:t>
                            </w:r>
                          </w:p>
                          <w:p w:rsidR="00CE6E80" w:rsidRPr="00183151" w:rsidRDefault="00CE6E80" w:rsidP="00F35198">
                            <w:pPr>
                              <w:pStyle w:val="Heading4"/>
                              <w:spacing w:before="120"/>
                              <w:rPr>
                                <w:rFonts w:ascii="Book Antiqua" w:hAnsi="Book Antiqua"/>
                              </w:rPr>
                            </w:pPr>
                            <w:r w:rsidRPr="00183151">
                              <w:rPr>
                                <w:rFonts w:ascii="Book Antiqua" w:hAnsi="Book Antiqua"/>
                              </w:rPr>
                              <w:t>Office of Ratepayer Advocates</w:t>
                            </w:r>
                          </w:p>
                          <w:p w:rsidR="00CE6E80" w:rsidRPr="00183151" w:rsidRDefault="00CE6E80" w:rsidP="00F35198">
                            <w:pPr>
                              <w:jc w:val="center"/>
                              <w:rPr>
                                <w:rFonts w:ascii="Arrus BT Roman" w:hAnsi="Arrus BT Roman"/>
                                <w:i/>
                              </w:rPr>
                            </w:pPr>
                            <w:r w:rsidRPr="00183151">
                              <w:rPr>
                                <w:rFonts w:ascii="Book Antiqua" w:hAnsi="Book Antiqua"/>
                                <w:i/>
                              </w:rPr>
                              <w:t>California Public Utilities Commission</w:t>
                            </w:r>
                          </w:p>
                          <w:p w:rsidR="00CE6E80" w:rsidRPr="00183151" w:rsidRDefault="00CE6E80" w:rsidP="00F35198">
                            <w:pPr>
                              <w:pStyle w:val="Heading1"/>
                              <w:rPr>
                                <w:sz w:val="20"/>
                              </w:rPr>
                            </w:pPr>
                          </w:p>
                          <w:p w:rsidR="00CE6E80" w:rsidRPr="00183151" w:rsidRDefault="00CE6E80" w:rsidP="00F35198">
                            <w:pPr>
                              <w:pStyle w:val="Heading3"/>
                            </w:pPr>
                            <w:r w:rsidRPr="00183151">
                              <w:t xml:space="preserve">JOSEPH P. COMO </w:t>
                            </w:r>
                          </w:p>
                          <w:p w:rsidR="00CE6E80" w:rsidRDefault="00CE6E80" w:rsidP="00F35198">
                            <w:pPr>
                              <w:pStyle w:val="Heading3"/>
                            </w:pPr>
                            <w:r w:rsidRPr="00183151">
                              <w:t>Acting Director</w:t>
                            </w:r>
                            <w:r>
                              <w:t xml:space="preserve">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77" o:spid="_x0000_s1033" style="position:absolute;margin-left:154.15pt;margin-top:-3.95pt;width:214.65pt;height:108.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" filled="f" stroked="f">
                <v:textbox inset="1pt,1pt,1pt,1pt">
                  <w:txbxContent>
                    <w:p w:rsidR="00CE6E80" w:rsidRPr="00183151" w:rsidRDefault="00CE6E80" w:rsidP="00F35198">
                      <w:pPr>
                        <w:pStyle w:val="Heading2"/>
                        <w:jc w:val="center"/>
                        <w:rPr>
                          <w:rFonts w:ascii="Bookman Old Style" w:hAnsi="Bookman Old Style"/>
                          <w:sz w:val="44"/>
                        </w:rPr>
                      </w:pPr>
                      <w:r w:rsidRPr="00183151">
                        <w:rPr>
                          <w:rFonts w:ascii="Bookman Old Style" w:hAnsi="Bookman Old Style"/>
                          <w:sz w:val="44"/>
                        </w:rPr>
                        <w:t>ORA</w:t>
                      </w:r>
                    </w:p>
                    <w:p w:rsidR="00CE6E80" w:rsidRPr="00183151" w:rsidRDefault="00CE6E80" w:rsidP="00F35198">
                      <w:pPr>
                        <w:pStyle w:val="Heading4"/>
                        <w:spacing w:before="120"/>
                        <w:rPr>
                          <w:rFonts w:ascii="Book Antiqua" w:hAnsi="Book Antiqua"/>
                        </w:rPr>
                      </w:pPr>
                      <w:r w:rsidRPr="00183151">
                        <w:rPr>
                          <w:rFonts w:ascii="Book Antiqua" w:hAnsi="Book Antiqua"/>
                        </w:rPr>
                        <w:t>Office of Ratepayer Advocates</w:t>
                      </w:r>
                    </w:p>
                    <w:p w:rsidR="00CE6E80" w:rsidRPr="00183151" w:rsidRDefault="00CE6E80" w:rsidP="00F35198">
                      <w:pPr>
                        <w:jc w:val="center"/>
                        <w:rPr>
                          <w:rFonts w:ascii="Arrus BT Roman" w:hAnsi="Arrus BT Roman"/>
                          <w:i/>
                        </w:rPr>
                      </w:pPr>
                      <w:r w:rsidRPr="00183151">
                        <w:rPr>
                          <w:rFonts w:ascii="Book Antiqua" w:hAnsi="Book Antiqua"/>
                          <w:i/>
                        </w:rPr>
                        <w:t>California Public Utilities Commission</w:t>
                      </w:r>
                    </w:p>
                    <w:p w:rsidR="00CE6E80" w:rsidRPr="00183151" w:rsidRDefault="00CE6E80" w:rsidP="00F35198">
                      <w:pPr>
                        <w:pStyle w:val="Heading1"/>
                        <w:rPr>
                          <w:sz w:val="20"/>
                        </w:rPr>
                      </w:pPr>
                    </w:p>
                    <w:p w:rsidR="00CE6E80" w:rsidRPr="00183151" w:rsidRDefault="00CE6E80" w:rsidP="00F35198">
                      <w:pPr>
                        <w:pStyle w:val="Heading3"/>
                      </w:pPr>
                      <w:r w:rsidRPr="00183151">
                        <w:t xml:space="preserve">JOSEPH P. COMO </w:t>
                      </w:r>
                    </w:p>
                    <w:p w:rsidR="00CE6E80" w:rsidRDefault="00CE6E80" w:rsidP="00F35198">
                      <w:pPr>
                        <w:pStyle w:val="Heading3"/>
                      </w:pPr>
                      <w:r w:rsidRPr="00183151">
                        <w:t>Acting Director</w:t>
                      </w:r>
                      <w:r>
                        <w:t xml:space="preserve"> </w:t>
                      </w:r>
                    </w:p>
                  </w:txbxContent>
                </v:textbox>
              </v:rect>
            </w:pict>
          </mc:Fallback>
        </mc:AlternateContent>
      </w:r>
      <w:r w:rsidR="00F35198">
        <w:rPr>
          <w:rFonts w:ascii="Century Gothic" w:hAnsi="Century Gothic" w:cs="Arial"/>
          <w:noProof/>
          <w:sz w:val="20"/>
          <w:szCs w:val="20"/>
        </w:rPr>
        <mc:AlternateContent>
          <mc:Choice Requires="wps">
            <w:drawing>
              <wp:anchor distT="0" distB="0" distL="114300" distR="114300" simplePos="0" relativeHeight="251677184" behindDoc="0" locked="0" layoutInCell="0" allowOverlap="1" wp14:anchorId="709E7E7D" wp14:editId="0B6784D7">
                <wp:simplePos x="0" y="0"/>
                <wp:positionH relativeFrom="column">
                  <wp:posOffset>5017135</wp:posOffset>
                </wp:positionH>
                <wp:positionV relativeFrom="paragraph">
                  <wp:posOffset>46990</wp:posOffset>
                </wp:positionV>
                <wp:extent cx="1663065" cy="1196340"/>
                <wp:effectExtent l="0" t="0" r="0" b="3810"/>
                <wp:wrapNone/>
                <wp:docPr id="5152" name="Rectangle 5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1196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E6E80" w:rsidRDefault="00CE6E80" w:rsidP="00F35198">
                            <w:pPr>
                              <w:jc w:val="center"/>
                              <w:rPr>
                                <w:rFonts w:ascii="Book Antiqua" w:hAnsi="Book Antiqua"/>
                              </w:rPr>
                            </w:pPr>
                          </w:p>
                          <w:p w:rsidR="00CE6E80" w:rsidRDefault="00CE6E80" w:rsidP="00F35198">
                            <w:pPr>
                              <w:jc w:val="center"/>
                              <w:rPr>
                                <w:rFonts w:ascii="Book Antiqua" w:hAnsi="Book Antiqua"/>
                                <w:sz w:val="18"/>
                              </w:rPr>
                            </w:pPr>
                            <w:r>
                              <w:rPr>
                                <w:rFonts w:ascii="Book Antiqua" w:hAnsi="Book Antiqua"/>
                                <w:sz w:val="18"/>
                              </w:rPr>
                              <w:t>505 Van Ness Avenue</w:t>
                            </w:r>
                          </w:p>
                          <w:p w:rsidR="00CE6E80" w:rsidRDefault="00CE6E80" w:rsidP="00F35198">
                            <w:pPr>
                              <w:jc w:val="center"/>
                              <w:rPr>
                                <w:rFonts w:ascii="Book Antiqua" w:hAnsi="Book Antiqua"/>
                                <w:sz w:val="18"/>
                              </w:rPr>
                            </w:pPr>
                            <w:r>
                              <w:rPr>
                                <w:rFonts w:ascii="Book Antiqua" w:hAnsi="Book Antiqua"/>
                                <w:sz w:val="18"/>
                              </w:rPr>
                              <w:t>San Francisco, California  94102</w:t>
                            </w:r>
                          </w:p>
                          <w:p w:rsidR="00CE6E80" w:rsidRDefault="00CE6E80" w:rsidP="00F35198">
                            <w:pPr>
                              <w:jc w:val="center"/>
                              <w:rPr>
                                <w:rFonts w:ascii="Book Antiqua" w:hAnsi="Book Antiqua"/>
                                <w:sz w:val="18"/>
                              </w:rPr>
                            </w:pPr>
                            <w:r>
                              <w:rPr>
                                <w:rFonts w:ascii="Book Antiqua" w:hAnsi="Book Antiqua"/>
                                <w:sz w:val="18"/>
                              </w:rPr>
                              <w:t>Tel: 415-703-2381</w:t>
                            </w:r>
                          </w:p>
                          <w:p w:rsidR="00CE6E80" w:rsidRDefault="00CE6E80" w:rsidP="00F35198">
                            <w:pPr>
                              <w:jc w:val="center"/>
                              <w:rPr>
                                <w:rFonts w:ascii="Book Antiqua" w:hAnsi="Book Antiqua"/>
                                <w:sz w:val="18"/>
                              </w:rPr>
                            </w:pPr>
                            <w:r>
                              <w:rPr>
                                <w:rFonts w:ascii="Book Antiqua" w:hAnsi="Book Antiqua"/>
                                <w:sz w:val="18"/>
                              </w:rPr>
                              <w:t>Fax: (415) 703-2057</w:t>
                            </w:r>
                          </w:p>
                          <w:p w:rsidR="00CE6E80" w:rsidRDefault="00A32075" w:rsidP="00F35198">
                            <w:pPr>
                              <w:jc w:val="center"/>
                              <w:rPr>
                                <w:sz w:val="18"/>
                              </w:rPr>
                            </w:pPr>
                            <w:hyperlink r:id="rId23" w:history="1">
                              <w:r w:rsidR="00CE6E80" w:rsidRPr="00090663">
                                <w:rPr>
                                  <w:rStyle w:val="Hyperlink"/>
                                </w:rPr>
                                <w:t>www.ora.ca.gov</w:t>
                              </w:r>
                            </w:hyperlink>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78" o:spid="_x0000_s1034" style="position:absolute;margin-left:395.05pt;margin-top:3.7pt;width:130.95pt;height:94.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" o:allowincell="f" filled="f" stroked="f">
                <v:textbox inset="1pt,1pt,1pt,1pt">
                  <w:txbxContent>
                    <w:p w:rsidR="00CE6E80" w:rsidRDefault="00CE6E80" w:rsidP="00F35198">
                      <w:pPr>
                        <w:jc w:val="center"/>
                        <w:rPr>
                          <w:rFonts w:ascii="Book Antiqua" w:hAnsi="Book Antiqua"/>
                        </w:rPr>
                      </w:pPr>
                    </w:p>
                    <w:p w:rsidR="00CE6E80" w:rsidRDefault="00CE6E80" w:rsidP="00F35198">
                      <w:pPr>
                        <w:jc w:val="center"/>
                        <w:rPr>
                          <w:rFonts w:ascii="Book Antiqua" w:hAnsi="Book Antiqua"/>
                          <w:sz w:val="18"/>
                        </w:rPr>
                      </w:pPr>
                      <w:r>
                        <w:rPr>
                          <w:rFonts w:ascii="Book Antiqua" w:hAnsi="Book Antiqua"/>
                          <w:sz w:val="18"/>
                        </w:rPr>
                        <w:t>505 Van Ness Avenue</w:t>
                      </w:r>
                    </w:p>
                    <w:p w:rsidR="00CE6E80" w:rsidRDefault="00CE6E80" w:rsidP="00F35198">
                      <w:pPr>
                        <w:jc w:val="center"/>
                        <w:rPr>
                          <w:rFonts w:ascii="Book Antiqua" w:hAnsi="Book Antiqua"/>
                          <w:sz w:val="18"/>
                        </w:rPr>
                      </w:pPr>
                      <w:r>
                        <w:rPr>
                          <w:rFonts w:ascii="Book Antiqua" w:hAnsi="Book Antiqua"/>
                          <w:sz w:val="18"/>
                        </w:rPr>
                        <w:t>San Francisco, California  94102</w:t>
                      </w:r>
                    </w:p>
                    <w:p w:rsidR="00CE6E80" w:rsidRDefault="00CE6E80" w:rsidP="00F35198">
                      <w:pPr>
                        <w:jc w:val="center"/>
                        <w:rPr>
                          <w:rFonts w:ascii="Book Antiqua" w:hAnsi="Book Antiqua"/>
                          <w:sz w:val="18"/>
                        </w:rPr>
                      </w:pPr>
                      <w:r>
                        <w:rPr>
                          <w:rFonts w:ascii="Book Antiqua" w:hAnsi="Book Antiqua"/>
                          <w:sz w:val="18"/>
                        </w:rPr>
                        <w:t>Tel: 415-703-2381</w:t>
                      </w:r>
                    </w:p>
                    <w:p w:rsidR="00CE6E80" w:rsidRDefault="00CE6E80" w:rsidP="00F35198">
                      <w:pPr>
                        <w:jc w:val="center"/>
                        <w:rPr>
                          <w:rFonts w:ascii="Book Antiqua" w:hAnsi="Book Antiqua"/>
                          <w:sz w:val="18"/>
                        </w:rPr>
                      </w:pPr>
                      <w:r>
                        <w:rPr>
                          <w:rFonts w:ascii="Book Antiqua" w:hAnsi="Book Antiqua"/>
                          <w:sz w:val="18"/>
                        </w:rPr>
                        <w:t>Fax: (415) 703-2057</w:t>
                      </w:r>
                    </w:p>
                    <w:p w:rsidR="00CE6E80" w:rsidRDefault="00CE6E80" w:rsidP="00F35198">
                      <w:pPr>
                        <w:jc w:val="center"/>
                        <w:rPr>
                          <w:sz w:val="18"/>
                        </w:rPr>
                      </w:pPr>
                      <w:hyperlink r:id="rId24" w:history="1">
                        <w:r w:rsidRPr="00090663">
                          <w:rPr>
                            <w:rStyle w:val="Hyperlink"/>
                          </w:rPr>
                          <w:t>www.ora.ca.gov</w:t>
                        </w:r>
                      </w:hyperlink>
                    </w:p>
                  </w:txbxContent>
                </v:textbox>
              </v:rect>
            </w:pict>
          </mc:Fallback>
        </mc:AlternateContent>
      </w:r>
      <w:r w:rsidR="0048295A">
        <w:rPr>
          <w:noProof/>
        </w:rPr>
        <w:drawing>
          <wp:anchor distT="0" distB="0" distL="114300" distR="114300" simplePos="0" relativeHeight="251641344" behindDoc="0" locked="0" layoutInCell="1" allowOverlap="1" wp14:anchorId="1D5FD04C" wp14:editId="7FC6C32E">
            <wp:simplePos x="0" y="0"/>
            <wp:positionH relativeFrom="column">
              <wp:posOffset>342900</wp:posOffset>
            </wp:positionH>
            <wp:positionV relativeFrom="paragraph">
              <wp:posOffset>109220</wp:posOffset>
            </wp:positionV>
            <wp:extent cx="1054100" cy="1066800"/>
            <wp:effectExtent l="0" t="0" r="0" b="0"/>
            <wp:wrapSquare wrapText="bothSides"/>
            <wp:docPr id="5179" name="Picture 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9"/>
                    <pic:cNvPicPr>
                      <a:picLocks noChangeAspect="1" noChangeArrowheads="1"/>
                    </pic:cNvPicPr>
                  </pic:nvPicPr>
                  <pic:blipFill>
                    <a:blip r:embed="rId25" cstate="print">
                      <a:extLst>
                        <a:ext uri="{28A0092B-C50C-407E-A947-70E740481C1C}">
                          <a14:useLocalDpi xmlns:a14="http://schemas.microsoft.com/office/drawing/2010/main" val="0"/>
                        </a:ext>
                      </a:extLst>
                    </a:blip>
                    <a:srcRect l="235" t="9688" r="62578" b="40938"/>
                    <a:stretch>
                      <a:fillRect/>
                    </a:stretch>
                  </pic:blipFill>
                  <pic:spPr bwMode="auto">
                    <a:xfrm>
                      <a:off x="0" y="0"/>
                      <a:ext cx="10541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45A6" w:rsidRDefault="002045A6" w:rsidP="00F35198">
      <w:pPr>
        <w:spacing w:line="360" w:lineRule="auto"/>
        <w:jc w:val="center"/>
        <w:rPr>
          <w:rFonts w:ascii="Century Gothic" w:hAnsi="Century Gothic" w:cs="Arial"/>
          <w:sz w:val="20"/>
          <w:szCs w:val="20"/>
        </w:rPr>
      </w:pPr>
    </w:p>
    <w:p w:rsidR="002045A6" w:rsidRDefault="002045A6" w:rsidP="008B5629">
      <w:pPr>
        <w:spacing w:line="360" w:lineRule="auto"/>
        <w:rPr>
          <w:rFonts w:ascii="Century Gothic" w:hAnsi="Century Gothic" w:cs="Arial"/>
          <w:sz w:val="20"/>
          <w:szCs w:val="20"/>
        </w:rPr>
      </w:pPr>
    </w:p>
    <w:p w:rsidR="002045A6" w:rsidRDefault="002045A6" w:rsidP="008B5629">
      <w:pPr>
        <w:spacing w:line="360" w:lineRule="auto"/>
        <w:rPr>
          <w:rFonts w:ascii="Century Gothic" w:hAnsi="Century Gothic" w:cs="Arial"/>
          <w:sz w:val="20"/>
          <w:szCs w:val="20"/>
        </w:rPr>
      </w:pPr>
    </w:p>
    <w:p w:rsidR="002045A6" w:rsidRDefault="002045A6" w:rsidP="008B5629">
      <w:pPr>
        <w:spacing w:line="360" w:lineRule="auto"/>
        <w:rPr>
          <w:rFonts w:ascii="Century Gothic" w:hAnsi="Century Gothic" w:cs="Arial"/>
          <w:sz w:val="20"/>
          <w:szCs w:val="20"/>
        </w:rPr>
      </w:pPr>
    </w:p>
    <w:p w:rsidR="009505C5" w:rsidRPr="008C6668" w:rsidRDefault="0048295A">
      <w:pPr>
        <w:rPr>
          <w:rFonts w:ascii="Arial" w:hAnsi="Arial" w:cs="Arial"/>
          <w:sz w:val="19"/>
          <w:szCs w:val="19"/>
        </w:rPr>
      </w:pPr>
      <w:r>
        <w:rPr>
          <w:rFonts w:ascii="Century Gothic" w:hAnsi="Century Gothic" w:cs="Arial"/>
          <w:noProof/>
          <w:sz w:val="20"/>
          <w:szCs w:val="20"/>
        </w:rPr>
        <mc:AlternateContent>
          <mc:Choice Requires="wps">
            <w:drawing>
              <wp:anchor distT="0" distB="457200" distL="114300" distR="114300" simplePos="0" relativeHeight="251672064" behindDoc="0" locked="0" layoutInCell="1" allowOverlap="1" wp14:anchorId="073AB82C" wp14:editId="72B81838">
                <wp:simplePos x="0" y="0"/>
                <wp:positionH relativeFrom="column">
                  <wp:posOffset>-1586865</wp:posOffset>
                </wp:positionH>
                <wp:positionV relativeFrom="paragraph">
                  <wp:posOffset>223520</wp:posOffset>
                </wp:positionV>
                <wp:extent cx="387985" cy="490220"/>
                <wp:effectExtent l="3810" t="4445" r="0" b="635"/>
                <wp:wrapNone/>
                <wp:docPr id="62" name="Text Box 5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490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E6E80" w:rsidRPr="00A05B0F" w:rsidRDefault="00CE6E80" w:rsidP="004651AB">
                            <w:pPr>
                              <w:rPr>
                                <w:rFonts w:ascii="Arial Black" w:hAnsi="Arial Black"/>
                                <w:sz w:val="48"/>
                                <w:szCs w:val="48"/>
                              </w:rPr>
                            </w:pPr>
                            <w:r>
                              <w:rPr>
                                <w:rFonts w:ascii="Arial Black" w:hAnsi="Arial Black"/>
                                <w:position w:val="-9"/>
                                <w:sz w:val="48"/>
                                <w:szCs w:val="48"/>
                              </w:rPr>
                              <w:t xml:space="preserve">H </w:t>
                            </w:r>
                            <w:r w:rsidRPr="00A05B0F">
                              <w:rPr>
                                <w:rFonts w:ascii="Arial Black" w:hAnsi="Arial Black"/>
                                <w:position w:val="-9"/>
                                <w:sz w:val="48"/>
                                <w:szCs w:val="4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1" o:spid="_x0000_s1035" type="#_x0000_t202" style="position:absolute;margin-left:-124.95pt;margin-top:17.6pt;width:30.55pt;height:38.6pt;z-index:251672064;visibility:visible;mso-wrap-style:square;mso-width-percent:0;mso-height-percent:0;mso-wrap-distance-left:9pt;mso-wrap-distance-top:0;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" filled="f" stroked="f">
                <v:textbox>
                  <w:txbxContent>
                    <w:p w:rsidR="00CE6E80" w:rsidRPr="00A05B0F" w:rsidRDefault="00CE6E80" w:rsidP="004651AB">
                      <w:pPr>
                        <w:rPr>
                          <w:rFonts w:ascii="Arial Black" w:hAnsi="Arial Black"/>
                          <w:sz w:val="48"/>
                          <w:szCs w:val="48"/>
                        </w:rPr>
                      </w:pPr>
                      <w:r>
                        <w:rPr>
                          <w:rFonts w:ascii="Arial Black" w:hAnsi="Arial Black"/>
                          <w:position w:val="-9"/>
                          <w:sz w:val="48"/>
                          <w:szCs w:val="48"/>
                        </w:rPr>
                        <w:t xml:space="preserve">H </w:t>
                      </w:r>
                      <w:r w:rsidRPr="00A05B0F">
                        <w:rPr>
                          <w:rFonts w:ascii="Arial Black" w:hAnsi="Arial Black"/>
                          <w:position w:val="-9"/>
                          <w:sz w:val="48"/>
                          <w:szCs w:val="48"/>
                        </w:rPr>
                        <w:t xml:space="preserve"> </w:t>
                      </w:r>
                    </w:p>
                  </w:txbxContent>
                </v:textbox>
              </v:shape>
            </w:pict>
          </mc:Fallback>
        </mc:AlternateContent>
      </w:r>
    </w:p>
    <w:p w:rsidR="00DE10F5" w:rsidRDefault="00DE10F5" w:rsidP="00DE10F5">
      <w:pPr>
        <w:ind w:firstLine="720"/>
        <w:rPr>
          <w:rFonts w:ascii="Arial" w:hAnsi="Arial" w:cs="Arial"/>
          <w:sz w:val="19"/>
          <w:szCs w:val="19"/>
        </w:rPr>
      </w:pPr>
    </w:p>
    <w:p w:rsidR="00DC6E17" w:rsidRDefault="00DC6E17" w:rsidP="00DE10F5">
      <w:pPr>
        <w:ind w:firstLine="720"/>
        <w:rPr>
          <w:rFonts w:ascii="Arial" w:hAnsi="Arial" w:cs="Arial"/>
          <w:sz w:val="19"/>
          <w:szCs w:val="19"/>
        </w:rPr>
      </w:pPr>
    </w:p>
    <w:p w:rsidR="00972055" w:rsidRPr="008C6668" w:rsidRDefault="00972055" w:rsidP="00DE10F5">
      <w:pPr>
        <w:ind w:firstLine="720"/>
        <w:rPr>
          <w:rFonts w:ascii="Arial" w:hAnsi="Arial" w:cs="Arial"/>
          <w:sz w:val="19"/>
          <w:szCs w:val="19"/>
        </w:rPr>
      </w:pPr>
      <w:r w:rsidRPr="008C6668">
        <w:rPr>
          <w:rFonts w:ascii="Arial" w:hAnsi="Arial" w:cs="Arial"/>
          <w:sz w:val="19"/>
          <w:szCs w:val="19"/>
        </w:rPr>
        <w:t>Honorable Jerry Brown, Governor of the State of California, and distinguished members of the California State Legislature:</w:t>
      </w:r>
    </w:p>
    <w:p w:rsidR="00972055" w:rsidRPr="008C6668" w:rsidRDefault="00972055" w:rsidP="00DE10F5">
      <w:pPr>
        <w:rPr>
          <w:rFonts w:ascii="Arial" w:hAnsi="Arial" w:cs="Arial"/>
          <w:sz w:val="19"/>
          <w:szCs w:val="19"/>
        </w:rPr>
      </w:pPr>
    </w:p>
    <w:p w:rsidR="00972055" w:rsidRPr="008C6668" w:rsidRDefault="00972055" w:rsidP="00DC6E17">
      <w:pPr>
        <w:spacing w:after="120" w:line="276" w:lineRule="auto"/>
        <w:ind w:firstLine="720"/>
        <w:rPr>
          <w:rFonts w:ascii="Arial" w:hAnsi="Arial" w:cs="Arial"/>
          <w:sz w:val="19"/>
          <w:szCs w:val="19"/>
        </w:rPr>
      </w:pPr>
      <w:r w:rsidRPr="008C6668">
        <w:rPr>
          <w:rFonts w:ascii="Arial" w:hAnsi="Arial" w:cs="Arial"/>
          <w:sz w:val="19"/>
          <w:szCs w:val="19"/>
        </w:rPr>
        <w:t xml:space="preserve">I am pleased to present the </w:t>
      </w:r>
      <w:r w:rsidR="002F5C02">
        <w:rPr>
          <w:rFonts w:ascii="Arial" w:hAnsi="Arial" w:cs="Arial"/>
          <w:sz w:val="19"/>
          <w:szCs w:val="19"/>
        </w:rPr>
        <w:t xml:space="preserve">2015 </w:t>
      </w:r>
      <w:r w:rsidRPr="008C6668">
        <w:rPr>
          <w:rFonts w:ascii="Arial" w:hAnsi="Arial" w:cs="Arial"/>
          <w:sz w:val="19"/>
          <w:szCs w:val="19"/>
        </w:rPr>
        <w:t>Annual Report of the Office of Ratepayer Advocates (ORA). This Annual Report highlights ORA’s major accomplishments and activities in 2015 and offers some insights, from a consumer advocate’s perspective, into the current challenges and issues facing California’s utility customers. ORA’s statutory mandate is primarily to represent and advocate on behalf of the interests of investor-owned utility customers to obtain the “lowest possible rate for service consistent with reliable and safe service levels.”</w:t>
      </w:r>
      <w:r w:rsidRPr="008C6668">
        <w:rPr>
          <w:rStyle w:val="FootnoteReference"/>
          <w:rFonts w:ascii="Arial" w:hAnsi="Arial" w:cs="Arial"/>
          <w:sz w:val="19"/>
          <w:szCs w:val="19"/>
        </w:rPr>
        <w:footnoteReference w:id="1"/>
      </w:r>
      <w:r w:rsidRPr="008C6668">
        <w:rPr>
          <w:rFonts w:ascii="Arial" w:hAnsi="Arial" w:cs="Arial"/>
          <w:sz w:val="19"/>
          <w:szCs w:val="19"/>
        </w:rPr>
        <w:t xml:space="preserve"> This mandate requires ORA to examine and provide recommendations on many complex issues of utility service. These include, but are not limited to, safety of operations, environmental effects of energy production and use, communications availability and quality of service, and plan</w:t>
      </w:r>
      <w:r w:rsidR="005C500A">
        <w:rPr>
          <w:rFonts w:ascii="Arial" w:hAnsi="Arial" w:cs="Arial"/>
          <w:sz w:val="19"/>
          <w:szCs w:val="19"/>
        </w:rPr>
        <w:t>ning</w:t>
      </w:r>
      <w:r w:rsidRPr="008C6668">
        <w:rPr>
          <w:rFonts w:ascii="Arial" w:hAnsi="Arial" w:cs="Arial"/>
          <w:sz w:val="19"/>
          <w:szCs w:val="19"/>
        </w:rPr>
        <w:t xml:space="preserve"> for water scarcity.</w:t>
      </w:r>
    </w:p>
    <w:p w:rsidR="00972055" w:rsidRPr="008C6668" w:rsidRDefault="00972055" w:rsidP="00DC6E17">
      <w:pPr>
        <w:spacing w:after="120" w:line="276" w:lineRule="auto"/>
        <w:ind w:firstLine="720"/>
        <w:rPr>
          <w:rFonts w:ascii="Arial" w:hAnsi="Arial" w:cs="Arial"/>
          <w:sz w:val="19"/>
          <w:szCs w:val="19"/>
        </w:rPr>
      </w:pPr>
      <w:r w:rsidRPr="008C6668">
        <w:rPr>
          <w:rFonts w:ascii="Arial" w:hAnsi="Arial" w:cs="Arial"/>
          <w:sz w:val="19"/>
          <w:szCs w:val="19"/>
        </w:rPr>
        <w:t xml:space="preserve">In 2015, ORA’s staff of 147 </w:t>
      </w:r>
      <w:r w:rsidR="005C500A">
        <w:rPr>
          <w:rFonts w:ascii="Arial" w:hAnsi="Arial" w:cs="Arial"/>
          <w:sz w:val="19"/>
          <w:szCs w:val="19"/>
        </w:rPr>
        <w:t xml:space="preserve">analysts, </w:t>
      </w:r>
      <w:r w:rsidRPr="008C6668">
        <w:rPr>
          <w:rFonts w:ascii="Arial" w:hAnsi="Arial" w:cs="Arial"/>
          <w:sz w:val="19"/>
          <w:szCs w:val="19"/>
        </w:rPr>
        <w:t>engineers, economists, scientists, and auditors examined hundreds of thousands of pages of data from utilities, ran complex computer programs to simulate utility operations, and audited hundreds of utility accounts to ensure that customer funds were properly spent. ORA’s $</w:t>
      </w:r>
      <w:r w:rsidR="0073674B">
        <w:rPr>
          <w:rFonts w:ascii="Arial" w:hAnsi="Arial" w:cs="Arial"/>
          <w:sz w:val="19"/>
          <w:szCs w:val="19"/>
        </w:rPr>
        <w:t>27.7</w:t>
      </w:r>
      <w:r w:rsidRPr="008C6668">
        <w:rPr>
          <w:rFonts w:ascii="Arial" w:hAnsi="Arial" w:cs="Arial"/>
          <w:sz w:val="19"/>
          <w:szCs w:val="19"/>
        </w:rPr>
        <w:t xml:space="preserve"> million budget represents a small fraction of total benefit to ratepayers compared with the more than $5.3 billion in savings ORA helped to achieve on behalf of ratepayers in 2015. This savings was realized in the form of lower utility revenues and avoided rate increases. For every one dollar customers spent on ORA in 2015 through user fee funding, they saved approximately $1</w:t>
      </w:r>
      <w:r w:rsidR="00040DD5">
        <w:rPr>
          <w:rFonts w:ascii="Arial" w:hAnsi="Arial" w:cs="Arial"/>
          <w:sz w:val="19"/>
          <w:szCs w:val="19"/>
        </w:rPr>
        <w:t>91</w:t>
      </w:r>
      <w:r w:rsidRPr="008C6668">
        <w:rPr>
          <w:rFonts w:ascii="Arial" w:hAnsi="Arial" w:cs="Arial"/>
          <w:sz w:val="19"/>
          <w:szCs w:val="19"/>
        </w:rPr>
        <w:t xml:space="preserve"> across their utility bills.</w:t>
      </w:r>
    </w:p>
    <w:p w:rsidR="00972055" w:rsidRPr="008C6668" w:rsidRDefault="00972055" w:rsidP="00DC6E17">
      <w:pPr>
        <w:spacing w:after="120" w:line="276" w:lineRule="auto"/>
        <w:ind w:firstLine="720"/>
        <w:rPr>
          <w:rFonts w:ascii="Arial" w:hAnsi="Arial" w:cs="Arial"/>
          <w:sz w:val="19"/>
          <w:szCs w:val="19"/>
        </w:rPr>
      </w:pPr>
      <w:r w:rsidRPr="008C6668">
        <w:rPr>
          <w:rFonts w:ascii="Arial" w:hAnsi="Arial" w:cs="Arial"/>
          <w:sz w:val="19"/>
          <w:szCs w:val="19"/>
        </w:rPr>
        <w:t xml:space="preserve">Safety of utility operations continues to be a major focus area for the </w:t>
      </w:r>
      <w:r w:rsidR="00791B09">
        <w:rPr>
          <w:rFonts w:ascii="Arial" w:hAnsi="Arial" w:cs="Arial"/>
          <w:sz w:val="19"/>
          <w:szCs w:val="19"/>
        </w:rPr>
        <w:t xml:space="preserve">California </w:t>
      </w:r>
      <w:r w:rsidRPr="008C6668">
        <w:rPr>
          <w:rFonts w:ascii="Arial" w:hAnsi="Arial" w:cs="Arial"/>
          <w:sz w:val="19"/>
          <w:szCs w:val="19"/>
        </w:rPr>
        <w:t>Public Utilities Commission (</w:t>
      </w:r>
      <w:r w:rsidR="00791B09">
        <w:rPr>
          <w:rFonts w:ascii="Arial" w:hAnsi="Arial" w:cs="Arial"/>
          <w:sz w:val="19"/>
          <w:szCs w:val="19"/>
        </w:rPr>
        <w:t>C</w:t>
      </w:r>
      <w:r w:rsidRPr="008C6668">
        <w:rPr>
          <w:rFonts w:ascii="Arial" w:hAnsi="Arial" w:cs="Arial"/>
          <w:sz w:val="19"/>
          <w:szCs w:val="19"/>
        </w:rPr>
        <w:t>PUC)</w:t>
      </w:r>
      <w:r w:rsidR="00791B09">
        <w:rPr>
          <w:rFonts w:ascii="Arial" w:hAnsi="Arial" w:cs="Arial"/>
          <w:sz w:val="19"/>
          <w:szCs w:val="19"/>
        </w:rPr>
        <w:t>,</w:t>
      </w:r>
      <w:r w:rsidRPr="008C6668">
        <w:rPr>
          <w:rFonts w:ascii="Arial" w:hAnsi="Arial" w:cs="Arial"/>
          <w:sz w:val="19"/>
          <w:szCs w:val="19"/>
        </w:rPr>
        <w:t xml:space="preserve"> and for ORA as well. </w:t>
      </w:r>
      <w:r w:rsidRPr="00CE6E80">
        <w:rPr>
          <w:rFonts w:ascii="Arial" w:hAnsi="Arial" w:cs="Arial"/>
          <w:sz w:val="19"/>
          <w:szCs w:val="19"/>
        </w:rPr>
        <w:t>We</w:t>
      </w:r>
      <w:r w:rsidRPr="008C6668">
        <w:rPr>
          <w:rFonts w:ascii="Arial" w:hAnsi="Arial" w:cs="Arial"/>
          <w:sz w:val="19"/>
          <w:szCs w:val="19"/>
        </w:rPr>
        <w:t xml:space="preserve"> continue to support necessary safety related spending by utilities. ORA’s role is not only to</w:t>
      </w:r>
      <w:r w:rsidR="00791B09">
        <w:rPr>
          <w:rFonts w:ascii="Arial" w:hAnsi="Arial" w:cs="Arial"/>
          <w:sz w:val="19"/>
          <w:szCs w:val="19"/>
        </w:rPr>
        <w:t xml:space="preserve"> analyze such spending for cost-</w:t>
      </w:r>
      <w:r w:rsidRPr="008C6668">
        <w:rPr>
          <w:rFonts w:ascii="Arial" w:hAnsi="Arial" w:cs="Arial"/>
          <w:sz w:val="19"/>
          <w:szCs w:val="19"/>
        </w:rPr>
        <w:t xml:space="preserve">effectiveness, but to suggest mechanisms to help ensure that utilities spend customer money appropriately. </w:t>
      </w:r>
    </w:p>
    <w:p w:rsidR="00972055" w:rsidRPr="008C6668" w:rsidRDefault="00972055" w:rsidP="00DC6E17">
      <w:pPr>
        <w:spacing w:after="120" w:line="276" w:lineRule="auto"/>
        <w:ind w:firstLine="720"/>
        <w:rPr>
          <w:rFonts w:ascii="Arial" w:hAnsi="Arial" w:cs="Arial"/>
          <w:sz w:val="19"/>
          <w:szCs w:val="19"/>
        </w:rPr>
      </w:pPr>
      <w:r w:rsidRPr="008C6668">
        <w:rPr>
          <w:rFonts w:ascii="Arial" w:hAnsi="Arial" w:cs="Arial"/>
          <w:sz w:val="19"/>
          <w:szCs w:val="19"/>
        </w:rPr>
        <w:t xml:space="preserve">In 2015, ORA </w:t>
      </w:r>
      <w:r w:rsidRPr="00CE6E80">
        <w:rPr>
          <w:rFonts w:ascii="Arial" w:hAnsi="Arial" w:cs="Arial"/>
          <w:sz w:val="19"/>
          <w:szCs w:val="19"/>
        </w:rPr>
        <w:t>culminated</w:t>
      </w:r>
      <w:r w:rsidRPr="008C6668">
        <w:rPr>
          <w:rFonts w:ascii="Arial" w:hAnsi="Arial" w:cs="Arial"/>
          <w:sz w:val="19"/>
          <w:szCs w:val="19"/>
        </w:rPr>
        <w:t xml:space="preserve"> a 4-year process to create a new branch called Energy Safety &amp; Infrastructure, to better manage ORA’s significant workload in utility safety. This branch, composed mainly of engineers, will </w:t>
      </w:r>
      <w:r w:rsidR="005C500A">
        <w:rPr>
          <w:rFonts w:ascii="Arial" w:hAnsi="Arial" w:cs="Arial"/>
          <w:sz w:val="19"/>
          <w:szCs w:val="19"/>
        </w:rPr>
        <w:t>review the safety aspects of</w:t>
      </w:r>
      <w:r w:rsidRPr="008C6668">
        <w:rPr>
          <w:rFonts w:ascii="Arial" w:hAnsi="Arial" w:cs="Arial"/>
          <w:sz w:val="19"/>
          <w:szCs w:val="19"/>
        </w:rPr>
        <w:t xml:space="preserve"> CPUC proceedings and contribute to safety risk assessment filings as required by the </w:t>
      </w:r>
      <w:r w:rsidR="00791B09">
        <w:rPr>
          <w:rFonts w:ascii="Arial" w:hAnsi="Arial" w:cs="Arial"/>
          <w:sz w:val="19"/>
          <w:szCs w:val="19"/>
        </w:rPr>
        <w:t>C</w:t>
      </w:r>
      <w:r w:rsidRPr="008C6668">
        <w:rPr>
          <w:rFonts w:ascii="Arial" w:hAnsi="Arial" w:cs="Arial"/>
          <w:sz w:val="19"/>
          <w:szCs w:val="19"/>
        </w:rPr>
        <w:t>PUC’s new General Rate Case process.</w:t>
      </w:r>
    </w:p>
    <w:p w:rsidR="00972055" w:rsidRPr="008C6668" w:rsidRDefault="00972055" w:rsidP="00DE10F5">
      <w:pPr>
        <w:spacing w:after="60" w:line="276" w:lineRule="auto"/>
        <w:ind w:firstLine="720"/>
        <w:rPr>
          <w:rFonts w:ascii="Arial" w:hAnsi="Arial" w:cs="Arial"/>
          <w:sz w:val="19"/>
          <w:szCs w:val="19"/>
        </w:rPr>
      </w:pPr>
      <w:r w:rsidRPr="008C6668">
        <w:rPr>
          <w:rFonts w:ascii="Arial" w:hAnsi="Arial" w:cs="Arial"/>
          <w:sz w:val="19"/>
          <w:szCs w:val="19"/>
        </w:rPr>
        <w:t>This Annual Report for 2015 summarizes major work areas, positions taken</w:t>
      </w:r>
      <w:r w:rsidR="00791B09">
        <w:rPr>
          <w:rFonts w:ascii="Arial" w:hAnsi="Arial" w:cs="Arial"/>
          <w:sz w:val="19"/>
          <w:szCs w:val="19"/>
        </w:rPr>
        <w:t>,</w:t>
      </w:r>
      <w:r w:rsidRPr="008C6668">
        <w:rPr>
          <w:rFonts w:ascii="Arial" w:hAnsi="Arial" w:cs="Arial"/>
          <w:sz w:val="19"/>
          <w:szCs w:val="19"/>
        </w:rPr>
        <w:t xml:space="preserve"> and accomplishments of ORA. Most of the real benefits to utility customers come </w:t>
      </w:r>
      <w:r w:rsidRPr="00CE6E80">
        <w:rPr>
          <w:rFonts w:ascii="Arial" w:hAnsi="Arial" w:cs="Arial"/>
          <w:sz w:val="19"/>
          <w:szCs w:val="19"/>
        </w:rPr>
        <w:t xml:space="preserve">from ORA’s formidable commitment to analyzing utility General Rate Case (GRC) applications. That work underlies </w:t>
      </w:r>
      <w:r w:rsidR="004147D6" w:rsidRPr="00CE6E80">
        <w:rPr>
          <w:rFonts w:ascii="Arial" w:hAnsi="Arial" w:cs="Arial"/>
          <w:sz w:val="19"/>
          <w:szCs w:val="19"/>
        </w:rPr>
        <w:t>most of ORA’s</w:t>
      </w:r>
      <w:r w:rsidRPr="00CE6E80">
        <w:rPr>
          <w:rFonts w:ascii="Arial" w:hAnsi="Arial" w:cs="Arial"/>
          <w:sz w:val="19"/>
          <w:szCs w:val="19"/>
        </w:rPr>
        <w:t xml:space="preserve"> co</w:t>
      </w:r>
      <w:r w:rsidR="004147D6" w:rsidRPr="00CE6E80">
        <w:rPr>
          <w:rFonts w:ascii="Arial" w:hAnsi="Arial" w:cs="Arial"/>
          <w:sz w:val="19"/>
          <w:szCs w:val="19"/>
        </w:rPr>
        <w:t>st savings for</w:t>
      </w:r>
      <w:r w:rsidRPr="00CE6E80">
        <w:rPr>
          <w:rFonts w:ascii="Arial" w:hAnsi="Arial" w:cs="Arial"/>
          <w:sz w:val="19"/>
          <w:szCs w:val="19"/>
        </w:rPr>
        <w:t xml:space="preserve"> customers.</w:t>
      </w:r>
      <w:r w:rsidRPr="008C6668">
        <w:rPr>
          <w:rFonts w:ascii="Arial" w:hAnsi="Arial" w:cs="Arial"/>
          <w:sz w:val="19"/>
          <w:szCs w:val="19"/>
        </w:rPr>
        <w:t xml:space="preserve"> In addition to the GRC work in 2015</w:t>
      </w:r>
      <w:r w:rsidR="00791B09">
        <w:rPr>
          <w:rFonts w:ascii="Arial" w:hAnsi="Arial" w:cs="Arial"/>
          <w:sz w:val="19"/>
          <w:szCs w:val="19"/>
        </w:rPr>
        <w:t>,</w:t>
      </w:r>
      <w:r w:rsidRPr="008C6668">
        <w:rPr>
          <w:rFonts w:ascii="Arial" w:hAnsi="Arial" w:cs="Arial"/>
          <w:sz w:val="19"/>
          <w:szCs w:val="19"/>
        </w:rPr>
        <w:t xml:space="preserve"> I highlight the following specific issues of importance: </w:t>
      </w:r>
    </w:p>
    <w:p w:rsidR="00972055" w:rsidRPr="008C6668" w:rsidRDefault="00972055" w:rsidP="00DE10F5">
      <w:pPr>
        <w:numPr>
          <w:ilvl w:val="0"/>
          <w:numId w:val="43"/>
        </w:numPr>
        <w:spacing w:after="60" w:line="276" w:lineRule="auto"/>
        <w:rPr>
          <w:rFonts w:ascii="Arial" w:hAnsi="Arial" w:cs="Arial"/>
          <w:sz w:val="19"/>
          <w:szCs w:val="19"/>
        </w:rPr>
      </w:pPr>
      <w:r w:rsidRPr="00791B09">
        <w:rPr>
          <w:rFonts w:ascii="Arial" w:hAnsi="Arial" w:cs="Arial"/>
          <w:b/>
          <w:sz w:val="19"/>
          <w:szCs w:val="19"/>
        </w:rPr>
        <w:t>San Bruno Investigation</w:t>
      </w:r>
      <w:r w:rsidRPr="008C6668">
        <w:rPr>
          <w:rFonts w:ascii="Arial" w:hAnsi="Arial" w:cs="Arial"/>
          <w:sz w:val="19"/>
          <w:szCs w:val="19"/>
        </w:rPr>
        <w:t xml:space="preserve"> – This multi</w:t>
      </w:r>
      <w:r w:rsidR="00791B09">
        <w:rPr>
          <w:rFonts w:ascii="Arial" w:hAnsi="Arial" w:cs="Arial"/>
          <w:sz w:val="19"/>
          <w:szCs w:val="19"/>
        </w:rPr>
        <w:t>-</w:t>
      </w:r>
      <w:r w:rsidRPr="008C6668">
        <w:rPr>
          <w:rFonts w:ascii="Arial" w:hAnsi="Arial" w:cs="Arial"/>
          <w:sz w:val="19"/>
          <w:szCs w:val="19"/>
        </w:rPr>
        <w:t>year case culmina</w:t>
      </w:r>
      <w:r w:rsidR="004147D6">
        <w:rPr>
          <w:rFonts w:ascii="Arial" w:hAnsi="Arial" w:cs="Arial"/>
          <w:sz w:val="19"/>
          <w:szCs w:val="19"/>
        </w:rPr>
        <w:t xml:space="preserve">ted </w:t>
      </w:r>
      <w:r w:rsidR="004147D6" w:rsidRPr="002F5C02">
        <w:rPr>
          <w:rFonts w:ascii="Arial" w:hAnsi="Arial" w:cs="Arial"/>
          <w:sz w:val="19"/>
          <w:szCs w:val="19"/>
        </w:rPr>
        <w:t>with</w:t>
      </w:r>
      <w:r w:rsidR="004147D6">
        <w:rPr>
          <w:rFonts w:ascii="Arial" w:hAnsi="Arial" w:cs="Arial"/>
          <w:sz w:val="19"/>
          <w:szCs w:val="19"/>
        </w:rPr>
        <w:t xml:space="preserve"> </w:t>
      </w:r>
      <w:r w:rsidR="002F5C02">
        <w:rPr>
          <w:rFonts w:ascii="Arial" w:hAnsi="Arial" w:cs="Arial"/>
          <w:sz w:val="19"/>
          <w:szCs w:val="19"/>
        </w:rPr>
        <w:t xml:space="preserve">a </w:t>
      </w:r>
      <w:r w:rsidR="004147D6">
        <w:rPr>
          <w:rFonts w:ascii="Arial" w:hAnsi="Arial" w:cs="Arial"/>
          <w:sz w:val="19"/>
          <w:szCs w:val="19"/>
        </w:rPr>
        <w:t>$1.6 billion penalty for</w:t>
      </w:r>
      <w:r w:rsidRPr="008C6668">
        <w:rPr>
          <w:rFonts w:ascii="Arial" w:hAnsi="Arial" w:cs="Arial"/>
          <w:sz w:val="19"/>
          <w:szCs w:val="19"/>
        </w:rPr>
        <w:t xml:space="preserve"> PG&amp;E, with a majority of the penalty to be used to pay the costs of pipeline safety upgrades and compensation to customers.</w:t>
      </w:r>
    </w:p>
    <w:p w:rsidR="00972055" w:rsidRPr="008C6668" w:rsidRDefault="00972055" w:rsidP="00DE10F5">
      <w:pPr>
        <w:numPr>
          <w:ilvl w:val="0"/>
          <w:numId w:val="43"/>
        </w:numPr>
        <w:spacing w:after="60" w:line="276" w:lineRule="auto"/>
        <w:rPr>
          <w:rFonts w:ascii="Arial" w:hAnsi="Arial" w:cs="Arial"/>
          <w:sz w:val="19"/>
          <w:szCs w:val="19"/>
        </w:rPr>
      </w:pPr>
      <w:r w:rsidRPr="00791B09">
        <w:rPr>
          <w:rFonts w:ascii="Arial" w:hAnsi="Arial" w:cs="Arial"/>
          <w:b/>
          <w:sz w:val="19"/>
          <w:szCs w:val="19"/>
        </w:rPr>
        <w:t>San Onofre Nuclear Generating Station (SONGS)</w:t>
      </w:r>
      <w:r w:rsidRPr="008C6668">
        <w:rPr>
          <w:rFonts w:ascii="Arial" w:hAnsi="Arial" w:cs="Arial"/>
          <w:sz w:val="19"/>
          <w:szCs w:val="19"/>
        </w:rPr>
        <w:t xml:space="preserve"> – ORA </w:t>
      </w:r>
      <w:r w:rsidR="00665BA2">
        <w:rPr>
          <w:rFonts w:ascii="Arial" w:hAnsi="Arial" w:cs="Arial"/>
          <w:sz w:val="19"/>
          <w:szCs w:val="19"/>
        </w:rPr>
        <w:t>urged</w:t>
      </w:r>
      <w:r w:rsidR="00665BA2" w:rsidRPr="008C6668">
        <w:rPr>
          <w:rFonts w:ascii="Arial" w:hAnsi="Arial" w:cs="Arial"/>
          <w:sz w:val="19"/>
          <w:szCs w:val="19"/>
        </w:rPr>
        <w:t xml:space="preserve"> </w:t>
      </w:r>
      <w:r w:rsidR="00665BA2">
        <w:rPr>
          <w:rFonts w:ascii="Arial" w:hAnsi="Arial" w:cs="Arial"/>
          <w:sz w:val="19"/>
          <w:szCs w:val="19"/>
        </w:rPr>
        <w:t xml:space="preserve">the </w:t>
      </w:r>
      <w:r w:rsidRPr="008C6668">
        <w:rPr>
          <w:rFonts w:ascii="Arial" w:hAnsi="Arial" w:cs="Arial"/>
          <w:sz w:val="19"/>
          <w:szCs w:val="19"/>
        </w:rPr>
        <w:t>return of $648 million to customers to penalize Southern California Edison for gains resulting from secret conversations between CPUC decision-makers and Edison executives that had violated the law.</w:t>
      </w:r>
    </w:p>
    <w:p w:rsidR="00972055" w:rsidRDefault="005E2682" w:rsidP="00DE10F5">
      <w:pPr>
        <w:numPr>
          <w:ilvl w:val="0"/>
          <w:numId w:val="43"/>
        </w:numPr>
        <w:spacing w:after="60" w:line="276" w:lineRule="auto"/>
        <w:rPr>
          <w:rFonts w:ascii="Arial" w:hAnsi="Arial" w:cs="Arial"/>
          <w:sz w:val="19"/>
          <w:szCs w:val="19"/>
        </w:rPr>
      </w:pPr>
      <w:r w:rsidRPr="008E4788">
        <w:rPr>
          <w:rFonts w:ascii="Arial" w:hAnsi="Arial" w:cs="Arial"/>
          <w:b/>
          <w:sz w:val="19"/>
          <w:szCs w:val="19"/>
        </w:rPr>
        <w:t>Electricity</w:t>
      </w:r>
      <w:r>
        <w:rPr>
          <w:rFonts w:ascii="Arial" w:hAnsi="Arial" w:cs="Arial"/>
          <w:b/>
          <w:sz w:val="19"/>
          <w:szCs w:val="19"/>
        </w:rPr>
        <w:t xml:space="preserve"> </w:t>
      </w:r>
      <w:r w:rsidR="00972055" w:rsidRPr="005E2682">
        <w:rPr>
          <w:rFonts w:ascii="Arial" w:hAnsi="Arial" w:cs="Arial"/>
          <w:b/>
          <w:sz w:val="19"/>
          <w:szCs w:val="19"/>
        </w:rPr>
        <w:t>Rate Reform</w:t>
      </w:r>
      <w:r w:rsidR="00972055" w:rsidRPr="008C6668">
        <w:rPr>
          <w:rFonts w:ascii="Arial" w:hAnsi="Arial" w:cs="Arial"/>
          <w:sz w:val="19"/>
          <w:szCs w:val="19"/>
        </w:rPr>
        <w:t xml:space="preserve"> - ORA promoted the benefits from Time-of-Use pricing</w:t>
      </w:r>
      <w:r w:rsidR="00BC25DE">
        <w:rPr>
          <w:rFonts w:ascii="Arial" w:hAnsi="Arial" w:cs="Arial"/>
          <w:sz w:val="19"/>
          <w:szCs w:val="19"/>
        </w:rPr>
        <w:t>,</w:t>
      </w:r>
      <w:r w:rsidR="00972055" w:rsidRPr="008C6668">
        <w:rPr>
          <w:rFonts w:ascii="Arial" w:hAnsi="Arial" w:cs="Arial"/>
          <w:sz w:val="19"/>
          <w:szCs w:val="19"/>
        </w:rPr>
        <w:t xml:space="preserve"> with the option to op</w:t>
      </w:r>
      <w:r w:rsidR="00793B77">
        <w:rPr>
          <w:rFonts w:ascii="Arial" w:hAnsi="Arial" w:cs="Arial"/>
          <w:sz w:val="19"/>
          <w:szCs w:val="19"/>
        </w:rPr>
        <w:t>t-</w:t>
      </w:r>
      <w:r w:rsidR="00BC25DE">
        <w:rPr>
          <w:rFonts w:ascii="Arial" w:hAnsi="Arial" w:cs="Arial"/>
          <w:sz w:val="19"/>
          <w:szCs w:val="19"/>
        </w:rPr>
        <w:t>out if a customer wishes. Time-of-Use strategies</w:t>
      </w:r>
      <w:r w:rsidR="00972055" w:rsidRPr="008C6668">
        <w:rPr>
          <w:rFonts w:ascii="Arial" w:hAnsi="Arial" w:cs="Arial"/>
          <w:sz w:val="19"/>
          <w:szCs w:val="19"/>
        </w:rPr>
        <w:t xml:space="preserve"> give customers greater flexibility to adjust consumption to reduce bills. ORA did not support the concept of fixed charges because it would disproportionately harm customers that use the least amount of energy per month and be a disincentive to conserve.</w:t>
      </w:r>
    </w:p>
    <w:p w:rsidR="004E34FE" w:rsidRDefault="004E34FE" w:rsidP="004E34FE">
      <w:pPr>
        <w:spacing w:after="60" w:line="276" w:lineRule="auto"/>
        <w:rPr>
          <w:rFonts w:ascii="Arial" w:hAnsi="Arial" w:cs="Arial"/>
          <w:sz w:val="19"/>
          <w:szCs w:val="19"/>
        </w:rPr>
      </w:pPr>
    </w:p>
    <w:p w:rsidR="004E34FE" w:rsidRPr="008C6668" w:rsidRDefault="004E34FE" w:rsidP="004E34FE">
      <w:pPr>
        <w:spacing w:line="276" w:lineRule="auto"/>
        <w:rPr>
          <w:rFonts w:ascii="Arial" w:hAnsi="Arial" w:cs="Arial"/>
          <w:sz w:val="19"/>
          <w:szCs w:val="19"/>
        </w:rPr>
      </w:pPr>
    </w:p>
    <w:p w:rsidR="00DE10F5" w:rsidRPr="004E34FE" w:rsidRDefault="00972055" w:rsidP="00DE10F5">
      <w:pPr>
        <w:numPr>
          <w:ilvl w:val="0"/>
          <w:numId w:val="43"/>
        </w:numPr>
        <w:spacing w:after="60" w:line="276" w:lineRule="auto"/>
        <w:rPr>
          <w:rFonts w:ascii="Arial" w:hAnsi="Arial" w:cs="Arial"/>
          <w:sz w:val="19"/>
          <w:szCs w:val="19"/>
        </w:rPr>
      </w:pPr>
      <w:r w:rsidRPr="004E34FE">
        <w:rPr>
          <w:rFonts w:ascii="Arial" w:hAnsi="Arial" w:cs="Arial"/>
          <w:b/>
          <w:sz w:val="19"/>
          <w:szCs w:val="19"/>
        </w:rPr>
        <w:t xml:space="preserve">Safety </w:t>
      </w:r>
      <w:r w:rsidRPr="004E34FE">
        <w:rPr>
          <w:rFonts w:ascii="Arial" w:hAnsi="Arial" w:cs="Arial"/>
          <w:sz w:val="19"/>
          <w:szCs w:val="19"/>
        </w:rPr>
        <w:t xml:space="preserve">– ORA continues to push utilities to comply with federal and </w:t>
      </w:r>
      <w:r w:rsidR="00BC25DE">
        <w:rPr>
          <w:rFonts w:ascii="Arial" w:hAnsi="Arial" w:cs="Arial"/>
          <w:sz w:val="19"/>
          <w:szCs w:val="19"/>
        </w:rPr>
        <w:t>state gas pipeline standards. ORA’s</w:t>
      </w:r>
      <w:r w:rsidRPr="004E34FE">
        <w:rPr>
          <w:rFonts w:ascii="Arial" w:hAnsi="Arial" w:cs="Arial"/>
          <w:sz w:val="19"/>
          <w:szCs w:val="19"/>
        </w:rPr>
        <w:t xml:space="preserve"> new Energy Safety &amp; Infrastructure br</w:t>
      </w:r>
      <w:r w:rsidR="005E2682" w:rsidRPr="004E34FE">
        <w:rPr>
          <w:rFonts w:ascii="Arial" w:hAnsi="Arial" w:cs="Arial"/>
          <w:sz w:val="19"/>
          <w:szCs w:val="19"/>
        </w:rPr>
        <w:t>anch will focus on the plans,</w:t>
      </w:r>
      <w:r w:rsidRPr="004E34FE">
        <w:rPr>
          <w:rFonts w:ascii="Arial" w:hAnsi="Arial" w:cs="Arial"/>
          <w:sz w:val="19"/>
          <w:szCs w:val="19"/>
        </w:rPr>
        <w:t xml:space="preserve"> specification</w:t>
      </w:r>
      <w:r w:rsidR="005E2682" w:rsidRPr="004E34FE">
        <w:rPr>
          <w:rFonts w:ascii="Arial" w:hAnsi="Arial" w:cs="Arial"/>
          <w:sz w:val="19"/>
          <w:szCs w:val="19"/>
        </w:rPr>
        <w:t>s,</w:t>
      </w:r>
      <w:r w:rsidRPr="004E34FE">
        <w:rPr>
          <w:rFonts w:ascii="Arial" w:hAnsi="Arial" w:cs="Arial"/>
          <w:sz w:val="19"/>
          <w:szCs w:val="19"/>
        </w:rPr>
        <w:t xml:space="preserve"> and costs for new safety programs. </w:t>
      </w:r>
    </w:p>
    <w:p w:rsidR="00972055" w:rsidRPr="008C6668" w:rsidRDefault="00BC25DE" w:rsidP="00DE10F5">
      <w:pPr>
        <w:numPr>
          <w:ilvl w:val="0"/>
          <w:numId w:val="43"/>
        </w:numPr>
        <w:spacing w:after="60" w:line="276" w:lineRule="auto"/>
        <w:rPr>
          <w:rFonts w:ascii="Arial" w:hAnsi="Arial" w:cs="Arial"/>
          <w:sz w:val="19"/>
          <w:szCs w:val="19"/>
        </w:rPr>
      </w:pPr>
      <w:r>
        <w:rPr>
          <w:rFonts w:ascii="Arial" w:hAnsi="Arial" w:cs="Arial"/>
          <w:b/>
          <w:sz w:val="19"/>
          <w:szCs w:val="19"/>
        </w:rPr>
        <w:t>Renewable Portfolio Standard (</w:t>
      </w:r>
      <w:r w:rsidR="00972055" w:rsidRPr="005E2682">
        <w:rPr>
          <w:rFonts w:ascii="Arial" w:hAnsi="Arial" w:cs="Arial"/>
          <w:b/>
          <w:sz w:val="19"/>
          <w:szCs w:val="19"/>
        </w:rPr>
        <w:t>RPS</w:t>
      </w:r>
      <w:r>
        <w:rPr>
          <w:rFonts w:ascii="Arial" w:hAnsi="Arial" w:cs="Arial"/>
          <w:b/>
          <w:sz w:val="19"/>
          <w:szCs w:val="19"/>
        </w:rPr>
        <w:t>)</w:t>
      </w:r>
      <w:r w:rsidR="00972055" w:rsidRPr="005E2682">
        <w:rPr>
          <w:rFonts w:ascii="Arial" w:hAnsi="Arial" w:cs="Arial"/>
          <w:b/>
          <w:sz w:val="19"/>
          <w:szCs w:val="19"/>
        </w:rPr>
        <w:t xml:space="preserve"> </w:t>
      </w:r>
      <w:r w:rsidR="00972055" w:rsidRPr="008C6668">
        <w:rPr>
          <w:rFonts w:ascii="Arial" w:hAnsi="Arial" w:cs="Arial"/>
          <w:sz w:val="19"/>
          <w:szCs w:val="19"/>
        </w:rPr>
        <w:t xml:space="preserve">- ORA continues to support the </w:t>
      </w:r>
      <w:r w:rsidR="008E4788">
        <w:rPr>
          <w:rFonts w:ascii="Arial" w:hAnsi="Arial" w:cs="Arial"/>
          <w:sz w:val="19"/>
          <w:szCs w:val="19"/>
        </w:rPr>
        <w:t>greenhouse gas (</w:t>
      </w:r>
      <w:r w:rsidR="00972055" w:rsidRPr="008C6668">
        <w:rPr>
          <w:rFonts w:ascii="Arial" w:hAnsi="Arial" w:cs="Arial"/>
          <w:sz w:val="19"/>
          <w:szCs w:val="19"/>
        </w:rPr>
        <w:t>GHG</w:t>
      </w:r>
      <w:r w:rsidR="008E4788">
        <w:rPr>
          <w:rFonts w:ascii="Arial" w:hAnsi="Arial" w:cs="Arial"/>
          <w:sz w:val="19"/>
          <w:szCs w:val="19"/>
        </w:rPr>
        <w:t>)</w:t>
      </w:r>
      <w:r w:rsidR="00972055" w:rsidRPr="008C6668">
        <w:rPr>
          <w:rFonts w:ascii="Arial" w:hAnsi="Arial" w:cs="Arial"/>
          <w:sz w:val="19"/>
          <w:szCs w:val="19"/>
        </w:rPr>
        <w:t xml:space="preserve"> reduction target embodied in the 50% renewable energy goal. This should be accomplished through an analysis of the best alternatives and technologies for achieving GHG reduction</w:t>
      </w:r>
      <w:r w:rsidR="008E4788">
        <w:rPr>
          <w:rFonts w:ascii="Arial" w:hAnsi="Arial" w:cs="Arial"/>
          <w:sz w:val="19"/>
          <w:szCs w:val="19"/>
        </w:rPr>
        <w:t>s</w:t>
      </w:r>
      <w:r w:rsidR="00972055" w:rsidRPr="008C6668">
        <w:rPr>
          <w:rFonts w:ascii="Arial" w:hAnsi="Arial" w:cs="Arial"/>
          <w:sz w:val="19"/>
          <w:szCs w:val="19"/>
        </w:rPr>
        <w:t>, considering cost and feasibility.</w:t>
      </w:r>
    </w:p>
    <w:p w:rsidR="00972055" w:rsidRPr="008C6668" w:rsidRDefault="005E2682" w:rsidP="00DE10F5">
      <w:pPr>
        <w:numPr>
          <w:ilvl w:val="0"/>
          <w:numId w:val="43"/>
        </w:numPr>
        <w:spacing w:after="60" w:line="276" w:lineRule="auto"/>
        <w:rPr>
          <w:rFonts w:ascii="Arial" w:hAnsi="Arial" w:cs="Arial"/>
          <w:sz w:val="19"/>
          <w:szCs w:val="19"/>
        </w:rPr>
      </w:pPr>
      <w:r>
        <w:rPr>
          <w:rFonts w:ascii="Arial" w:hAnsi="Arial" w:cs="Arial"/>
          <w:b/>
          <w:sz w:val="19"/>
          <w:szCs w:val="19"/>
        </w:rPr>
        <w:t>Electric V</w:t>
      </w:r>
      <w:r w:rsidR="00972055" w:rsidRPr="005E2682">
        <w:rPr>
          <w:rFonts w:ascii="Arial" w:hAnsi="Arial" w:cs="Arial"/>
          <w:b/>
          <w:sz w:val="19"/>
          <w:szCs w:val="19"/>
        </w:rPr>
        <w:t>ehicles</w:t>
      </w:r>
      <w:r w:rsidR="00972055" w:rsidRPr="008C6668">
        <w:rPr>
          <w:rFonts w:ascii="Arial" w:hAnsi="Arial" w:cs="Arial"/>
          <w:sz w:val="19"/>
          <w:szCs w:val="19"/>
        </w:rPr>
        <w:t xml:space="preserve"> - ORA collaborated with Southern California Edison and other consumer, low-income, environmental, and industry representatives to develop a charging infrastructure pilot framework. Key provisions of this pilot include third-party private ownership of charging stations and a regulatory process to transition from pilot to full-scale roll-out. ORA supports adoption of this model for other utilities.</w:t>
      </w:r>
    </w:p>
    <w:p w:rsidR="00972055" w:rsidRPr="008C6668" w:rsidRDefault="00972055" w:rsidP="00DE10F5">
      <w:pPr>
        <w:numPr>
          <w:ilvl w:val="0"/>
          <w:numId w:val="43"/>
        </w:numPr>
        <w:spacing w:after="60" w:line="276" w:lineRule="auto"/>
        <w:rPr>
          <w:rFonts w:ascii="Arial" w:hAnsi="Arial" w:cs="Arial"/>
          <w:sz w:val="19"/>
          <w:szCs w:val="19"/>
        </w:rPr>
      </w:pPr>
      <w:r w:rsidRPr="005E2682">
        <w:rPr>
          <w:rFonts w:ascii="Arial" w:hAnsi="Arial" w:cs="Arial"/>
          <w:b/>
          <w:sz w:val="19"/>
          <w:szCs w:val="19"/>
        </w:rPr>
        <w:t>Energy Storage</w:t>
      </w:r>
      <w:r w:rsidRPr="008C6668">
        <w:rPr>
          <w:rFonts w:ascii="Arial" w:hAnsi="Arial" w:cs="Arial"/>
          <w:sz w:val="19"/>
          <w:szCs w:val="19"/>
        </w:rPr>
        <w:t xml:space="preserve"> - ORA advocated for an Energy Storage strategy and evaluation plan that will clearly account for greenhouse gas emission reductions.</w:t>
      </w:r>
    </w:p>
    <w:p w:rsidR="00972055" w:rsidRPr="008C6668" w:rsidRDefault="00972055" w:rsidP="00DE10F5">
      <w:pPr>
        <w:numPr>
          <w:ilvl w:val="0"/>
          <w:numId w:val="43"/>
        </w:numPr>
        <w:spacing w:after="60" w:line="276" w:lineRule="auto"/>
        <w:rPr>
          <w:rFonts w:ascii="Arial" w:hAnsi="Arial" w:cs="Arial"/>
          <w:sz w:val="19"/>
          <w:szCs w:val="19"/>
        </w:rPr>
      </w:pPr>
      <w:r w:rsidRPr="005E2682">
        <w:rPr>
          <w:rFonts w:ascii="Arial" w:hAnsi="Arial" w:cs="Arial"/>
          <w:b/>
          <w:sz w:val="19"/>
          <w:szCs w:val="19"/>
        </w:rPr>
        <w:t>Net Energy Metering</w:t>
      </w:r>
      <w:r w:rsidRPr="008C6668">
        <w:rPr>
          <w:rFonts w:ascii="Arial" w:hAnsi="Arial" w:cs="Arial"/>
          <w:sz w:val="19"/>
          <w:szCs w:val="19"/>
        </w:rPr>
        <w:t xml:space="preserve"> – ORA proposed a fiscal plan to support long-term and widespread growth of rooftop solar by slowly reducing the solar customer subsidy over a number of years and protecting the cost recovery expectations of customers.  </w:t>
      </w:r>
    </w:p>
    <w:p w:rsidR="00972055" w:rsidRPr="008C6668" w:rsidRDefault="00972055" w:rsidP="00DE10F5">
      <w:pPr>
        <w:numPr>
          <w:ilvl w:val="0"/>
          <w:numId w:val="43"/>
        </w:numPr>
        <w:spacing w:after="60" w:line="276" w:lineRule="auto"/>
        <w:rPr>
          <w:rFonts w:ascii="Arial" w:hAnsi="Arial" w:cs="Arial"/>
          <w:sz w:val="19"/>
          <w:szCs w:val="19"/>
        </w:rPr>
      </w:pPr>
      <w:r w:rsidRPr="001E1BC8">
        <w:rPr>
          <w:rFonts w:ascii="Arial" w:hAnsi="Arial" w:cs="Arial"/>
          <w:b/>
          <w:sz w:val="19"/>
          <w:szCs w:val="19"/>
        </w:rPr>
        <w:t>Energy Efficiency</w:t>
      </w:r>
      <w:r w:rsidRPr="008C6668">
        <w:rPr>
          <w:rFonts w:ascii="Arial" w:hAnsi="Arial" w:cs="Arial"/>
          <w:sz w:val="19"/>
          <w:szCs w:val="19"/>
        </w:rPr>
        <w:t xml:space="preserve"> - ORA recommends that the </w:t>
      </w:r>
      <w:r w:rsidR="00DE10F5">
        <w:rPr>
          <w:rFonts w:ascii="Arial" w:hAnsi="Arial" w:cs="Arial"/>
          <w:sz w:val="19"/>
          <w:szCs w:val="19"/>
        </w:rPr>
        <w:t>C</w:t>
      </w:r>
      <w:r w:rsidRPr="008C6668">
        <w:rPr>
          <w:rFonts w:ascii="Arial" w:hAnsi="Arial" w:cs="Arial"/>
          <w:sz w:val="19"/>
          <w:szCs w:val="19"/>
        </w:rPr>
        <w:t>PUC place more emphasis on Energy Efficiency programs that are administered by third party implementers</w:t>
      </w:r>
      <w:r w:rsidR="001E1BC8">
        <w:rPr>
          <w:rFonts w:ascii="Arial" w:hAnsi="Arial" w:cs="Arial"/>
          <w:sz w:val="19"/>
          <w:szCs w:val="19"/>
        </w:rPr>
        <w:t>,</w:t>
      </w:r>
      <w:r w:rsidRPr="008C6668">
        <w:rPr>
          <w:rFonts w:ascii="Arial" w:hAnsi="Arial" w:cs="Arial"/>
          <w:sz w:val="19"/>
          <w:szCs w:val="19"/>
        </w:rPr>
        <w:t xml:space="preserve"> selected via competitive solicitation.</w:t>
      </w:r>
    </w:p>
    <w:p w:rsidR="00972055" w:rsidRPr="008C6668" w:rsidRDefault="00972055" w:rsidP="00DE10F5">
      <w:pPr>
        <w:numPr>
          <w:ilvl w:val="0"/>
          <w:numId w:val="43"/>
        </w:numPr>
        <w:spacing w:after="60" w:line="276" w:lineRule="auto"/>
        <w:rPr>
          <w:rFonts w:ascii="Arial" w:hAnsi="Arial" w:cs="Arial"/>
          <w:sz w:val="19"/>
          <w:szCs w:val="19"/>
        </w:rPr>
      </w:pPr>
      <w:r w:rsidRPr="001E1BC8">
        <w:rPr>
          <w:rFonts w:ascii="Arial" w:hAnsi="Arial" w:cs="Arial"/>
          <w:b/>
          <w:sz w:val="19"/>
          <w:szCs w:val="19"/>
        </w:rPr>
        <w:t>Energy Imbalance Market and Regionalization</w:t>
      </w:r>
      <w:r w:rsidRPr="008C6668">
        <w:rPr>
          <w:rFonts w:ascii="Arial" w:hAnsi="Arial" w:cs="Arial"/>
          <w:sz w:val="19"/>
          <w:szCs w:val="19"/>
        </w:rPr>
        <w:t xml:space="preserve"> </w:t>
      </w:r>
      <w:r w:rsidRPr="001E1BC8">
        <w:rPr>
          <w:rFonts w:ascii="Arial" w:hAnsi="Arial" w:cs="Arial"/>
          <w:b/>
          <w:sz w:val="19"/>
          <w:szCs w:val="19"/>
        </w:rPr>
        <w:t>of the Independent System Operator</w:t>
      </w:r>
      <w:r w:rsidRPr="008C6668">
        <w:rPr>
          <w:rFonts w:ascii="Arial" w:hAnsi="Arial" w:cs="Arial"/>
          <w:sz w:val="19"/>
          <w:szCs w:val="19"/>
        </w:rPr>
        <w:t xml:space="preserve"> -  ORA supports the concept of regional </w:t>
      </w:r>
      <w:r w:rsidR="001E1BC8">
        <w:rPr>
          <w:rFonts w:ascii="Arial" w:hAnsi="Arial" w:cs="Arial"/>
          <w:sz w:val="19"/>
          <w:szCs w:val="19"/>
        </w:rPr>
        <w:t xml:space="preserve">electric </w:t>
      </w:r>
      <w:r w:rsidRPr="008C6668">
        <w:rPr>
          <w:rFonts w:ascii="Arial" w:hAnsi="Arial" w:cs="Arial"/>
          <w:sz w:val="19"/>
          <w:szCs w:val="19"/>
        </w:rPr>
        <w:t>grid management as a new framework that will benefit ratepayers by providing greater grid flexibility and reliability at a lower cost, while promoting the state’s climate goals.</w:t>
      </w:r>
    </w:p>
    <w:p w:rsidR="00972055" w:rsidRPr="008C6668" w:rsidRDefault="00972055" w:rsidP="00DE10F5">
      <w:pPr>
        <w:numPr>
          <w:ilvl w:val="0"/>
          <w:numId w:val="43"/>
        </w:numPr>
        <w:spacing w:after="60" w:line="276" w:lineRule="auto"/>
        <w:rPr>
          <w:rFonts w:ascii="Arial" w:hAnsi="Arial" w:cs="Arial"/>
          <w:sz w:val="19"/>
          <w:szCs w:val="19"/>
        </w:rPr>
      </w:pPr>
      <w:r w:rsidRPr="001E1BC8">
        <w:rPr>
          <w:rFonts w:ascii="Arial" w:hAnsi="Arial" w:cs="Arial"/>
          <w:b/>
          <w:sz w:val="19"/>
          <w:szCs w:val="19"/>
        </w:rPr>
        <w:t xml:space="preserve">Drought </w:t>
      </w:r>
      <w:r w:rsidR="001E1BC8">
        <w:rPr>
          <w:rFonts w:ascii="Arial" w:hAnsi="Arial" w:cs="Arial"/>
          <w:b/>
          <w:sz w:val="19"/>
          <w:szCs w:val="19"/>
        </w:rPr>
        <w:t>R</w:t>
      </w:r>
      <w:r w:rsidRPr="001E1BC8">
        <w:rPr>
          <w:rFonts w:ascii="Arial" w:hAnsi="Arial" w:cs="Arial"/>
          <w:b/>
          <w:sz w:val="19"/>
          <w:szCs w:val="19"/>
        </w:rPr>
        <w:t xml:space="preserve">elated </w:t>
      </w:r>
      <w:r w:rsidR="001E1BC8">
        <w:rPr>
          <w:rFonts w:ascii="Arial" w:hAnsi="Arial" w:cs="Arial"/>
          <w:b/>
          <w:sz w:val="19"/>
          <w:szCs w:val="19"/>
        </w:rPr>
        <w:t>I</w:t>
      </w:r>
      <w:r w:rsidRPr="001E1BC8">
        <w:rPr>
          <w:rFonts w:ascii="Arial" w:hAnsi="Arial" w:cs="Arial"/>
          <w:b/>
          <w:sz w:val="19"/>
          <w:szCs w:val="19"/>
        </w:rPr>
        <w:t>ssues</w:t>
      </w:r>
      <w:r w:rsidRPr="008C6668">
        <w:rPr>
          <w:rFonts w:ascii="Arial" w:hAnsi="Arial" w:cs="Arial"/>
          <w:sz w:val="19"/>
          <w:szCs w:val="19"/>
        </w:rPr>
        <w:t xml:space="preserve"> – ORA has focused on helping water utilities conserve water and reduce associated energy use by petitioning the </w:t>
      </w:r>
      <w:r w:rsidR="0053694E">
        <w:rPr>
          <w:rFonts w:ascii="Arial" w:hAnsi="Arial" w:cs="Arial"/>
          <w:sz w:val="19"/>
          <w:szCs w:val="19"/>
        </w:rPr>
        <w:t>C</w:t>
      </w:r>
      <w:r w:rsidRPr="008C6668">
        <w:rPr>
          <w:rFonts w:ascii="Arial" w:hAnsi="Arial" w:cs="Arial"/>
          <w:sz w:val="19"/>
          <w:szCs w:val="19"/>
        </w:rPr>
        <w:t xml:space="preserve">PUC to open a proceeding to develop partnerships between energy and water utilities. </w:t>
      </w:r>
      <w:r w:rsidRPr="00CE6E80">
        <w:rPr>
          <w:rFonts w:ascii="Arial" w:hAnsi="Arial" w:cs="Arial"/>
          <w:sz w:val="19"/>
          <w:szCs w:val="19"/>
        </w:rPr>
        <w:t>We</w:t>
      </w:r>
      <w:r w:rsidRPr="008C6668">
        <w:rPr>
          <w:rFonts w:ascii="Arial" w:hAnsi="Arial" w:cs="Arial"/>
          <w:sz w:val="19"/>
          <w:szCs w:val="19"/>
        </w:rPr>
        <w:t xml:space="preserve"> also supported rate design reforms that align</w:t>
      </w:r>
      <w:r w:rsidR="00CE6E80">
        <w:rPr>
          <w:rFonts w:ascii="Arial" w:hAnsi="Arial" w:cs="Arial"/>
          <w:sz w:val="19"/>
          <w:szCs w:val="19"/>
        </w:rPr>
        <w:t xml:space="preserve"> </w:t>
      </w:r>
      <w:r w:rsidRPr="008C6668">
        <w:rPr>
          <w:rFonts w:ascii="Arial" w:hAnsi="Arial" w:cs="Arial"/>
          <w:sz w:val="19"/>
          <w:szCs w:val="19"/>
        </w:rPr>
        <w:t>the appropriate price signals with the state’s conservation policy goals to eliminate discretionary outdoor water use.</w:t>
      </w:r>
    </w:p>
    <w:p w:rsidR="00972055" w:rsidRPr="008C6668" w:rsidRDefault="0053694E" w:rsidP="00DE10F5">
      <w:pPr>
        <w:numPr>
          <w:ilvl w:val="0"/>
          <w:numId w:val="43"/>
        </w:numPr>
        <w:spacing w:after="60" w:line="276" w:lineRule="auto"/>
        <w:rPr>
          <w:rFonts w:ascii="Arial" w:hAnsi="Arial" w:cs="Arial"/>
          <w:sz w:val="19"/>
          <w:szCs w:val="19"/>
        </w:rPr>
      </w:pPr>
      <w:r w:rsidRPr="0053694E">
        <w:rPr>
          <w:rFonts w:ascii="Arial" w:hAnsi="Arial" w:cs="Arial"/>
          <w:b/>
          <w:sz w:val="19"/>
          <w:szCs w:val="19"/>
        </w:rPr>
        <w:t>Communications M</w:t>
      </w:r>
      <w:r w:rsidR="00972055" w:rsidRPr="0053694E">
        <w:rPr>
          <w:rFonts w:ascii="Arial" w:hAnsi="Arial" w:cs="Arial"/>
          <w:b/>
          <w:sz w:val="19"/>
          <w:szCs w:val="19"/>
        </w:rPr>
        <w:t>ergers</w:t>
      </w:r>
      <w:r w:rsidRPr="0053694E">
        <w:rPr>
          <w:rFonts w:ascii="Arial" w:hAnsi="Arial" w:cs="Arial"/>
          <w:b/>
          <w:sz w:val="19"/>
          <w:szCs w:val="19"/>
        </w:rPr>
        <w:t xml:space="preserve"> / A</w:t>
      </w:r>
      <w:r w:rsidR="00972055" w:rsidRPr="0053694E">
        <w:rPr>
          <w:rFonts w:ascii="Arial" w:hAnsi="Arial" w:cs="Arial"/>
          <w:b/>
          <w:sz w:val="19"/>
          <w:szCs w:val="19"/>
        </w:rPr>
        <w:t>cquisitions</w:t>
      </w:r>
      <w:r w:rsidR="00972055" w:rsidRPr="008C6668">
        <w:rPr>
          <w:rFonts w:ascii="Arial" w:hAnsi="Arial" w:cs="Arial"/>
          <w:sz w:val="19"/>
          <w:szCs w:val="19"/>
        </w:rPr>
        <w:t xml:space="preserve"> - ORA analyzed three merger and acquisition applications for their impact on millions of customers of telephone and broadband services. This work continues </w:t>
      </w:r>
      <w:r w:rsidR="00BC25DE">
        <w:rPr>
          <w:rFonts w:ascii="Arial" w:hAnsi="Arial" w:cs="Arial"/>
          <w:sz w:val="19"/>
          <w:szCs w:val="19"/>
        </w:rPr>
        <w:t>ORA’s</w:t>
      </w:r>
      <w:r w:rsidR="00972055" w:rsidRPr="008C6668">
        <w:rPr>
          <w:rFonts w:ascii="Arial" w:hAnsi="Arial" w:cs="Arial"/>
          <w:sz w:val="19"/>
          <w:szCs w:val="19"/>
        </w:rPr>
        <w:t xml:space="preserve"> objective that mergers and acquisitions do not diminish reliability, public safety, competition, or deployment of advanced communications.</w:t>
      </w:r>
    </w:p>
    <w:p w:rsidR="00972055" w:rsidRDefault="00972055" w:rsidP="00DE10F5">
      <w:pPr>
        <w:numPr>
          <w:ilvl w:val="0"/>
          <w:numId w:val="43"/>
        </w:numPr>
        <w:spacing w:line="276" w:lineRule="auto"/>
        <w:rPr>
          <w:rFonts w:ascii="Arial" w:hAnsi="Arial" w:cs="Arial"/>
          <w:sz w:val="19"/>
          <w:szCs w:val="19"/>
        </w:rPr>
      </w:pPr>
      <w:r w:rsidRPr="0053694E">
        <w:rPr>
          <w:rFonts w:ascii="Arial" w:hAnsi="Arial" w:cs="Arial"/>
          <w:b/>
          <w:sz w:val="19"/>
          <w:szCs w:val="19"/>
        </w:rPr>
        <w:t>California Teleconnect Fund</w:t>
      </w:r>
      <w:r w:rsidRPr="008C6668">
        <w:rPr>
          <w:rFonts w:ascii="Arial" w:hAnsi="Arial" w:cs="Arial"/>
          <w:sz w:val="19"/>
          <w:szCs w:val="19"/>
        </w:rPr>
        <w:t xml:space="preserve"> - ORA supported goals to make broadband more accessible and affordable to underserved communities, hospitals</w:t>
      </w:r>
      <w:r w:rsidR="0053694E">
        <w:rPr>
          <w:rFonts w:ascii="Arial" w:hAnsi="Arial" w:cs="Arial"/>
          <w:sz w:val="19"/>
          <w:szCs w:val="19"/>
        </w:rPr>
        <w:t>,</w:t>
      </w:r>
      <w:r w:rsidRPr="008C6668">
        <w:rPr>
          <w:rFonts w:ascii="Arial" w:hAnsi="Arial" w:cs="Arial"/>
          <w:sz w:val="19"/>
          <w:szCs w:val="19"/>
        </w:rPr>
        <w:t xml:space="preserve"> and pre-kindergarten school programs. </w:t>
      </w:r>
    </w:p>
    <w:p w:rsidR="00DE10F5" w:rsidRPr="008C6668" w:rsidRDefault="00DE10F5" w:rsidP="00DE10F5">
      <w:pPr>
        <w:spacing w:line="276" w:lineRule="auto"/>
        <w:ind w:left="1080"/>
        <w:rPr>
          <w:rFonts w:ascii="Arial" w:hAnsi="Arial" w:cs="Arial"/>
          <w:sz w:val="19"/>
          <w:szCs w:val="19"/>
        </w:rPr>
      </w:pPr>
    </w:p>
    <w:p w:rsidR="00972055" w:rsidRPr="008C6668" w:rsidRDefault="00972055" w:rsidP="00DE10F5">
      <w:pPr>
        <w:spacing w:after="60" w:line="276" w:lineRule="auto"/>
        <w:ind w:firstLine="720"/>
        <w:rPr>
          <w:rFonts w:ascii="Arial" w:hAnsi="Arial" w:cs="Arial"/>
          <w:sz w:val="19"/>
          <w:szCs w:val="19"/>
        </w:rPr>
      </w:pPr>
      <w:r w:rsidRPr="008C6668">
        <w:rPr>
          <w:rFonts w:ascii="Arial" w:hAnsi="Arial" w:cs="Arial"/>
          <w:sz w:val="19"/>
          <w:szCs w:val="19"/>
        </w:rPr>
        <w:t>This Annual Report also fulfills ORA’s legislative requirement to provide the following information as required by statute:</w:t>
      </w:r>
      <w:r w:rsidRPr="008C6668">
        <w:rPr>
          <w:rStyle w:val="FootnoteReference"/>
          <w:rFonts w:ascii="Arial" w:hAnsi="Arial" w:cs="Arial"/>
          <w:sz w:val="19"/>
          <w:szCs w:val="19"/>
        </w:rPr>
        <w:footnoteReference w:id="2"/>
      </w:r>
    </w:p>
    <w:p w:rsidR="00972055" w:rsidRPr="008C6668" w:rsidRDefault="00972055" w:rsidP="00DE10F5">
      <w:pPr>
        <w:numPr>
          <w:ilvl w:val="0"/>
          <w:numId w:val="7"/>
        </w:numPr>
        <w:spacing w:line="276" w:lineRule="auto"/>
        <w:rPr>
          <w:rFonts w:ascii="Arial" w:hAnsi="Arial" w:cs="Arial"/>
          <w:sz w:val="19"/>
          <w:szCs w:val="19"/>
        </w:rPr>
      </w:pPr>
      <w:r w:rsidRPr="008C6668">
        <w:rPr>
          <w:rFonts w:ascii="Arial" w:hAnsi="Arial" w:cs="Arial"/>
          <w:sz w:val="19"/>
          <w:szCs w:val="19"/>
        </w:rPr>
        <w:t>The number of personnel years assigned to ORA and a comparison of the staffing levels for a five-year period.</w:t>
      </w:r>
    </w:p>
    <w:p w:rsidR="00972055" w:rsidRPr="008C6668" w:rsidRDefault="00972055" w:rsidP="00DE10F5">
      <w:pPr>
        <w:numPr>
          <w:ilvl w:val="0"/>
          <w:numId w:val="7"/>
        </w:numPr>
        <w:spacing w:line="276" w:lineRule="auto"/>
        <w:rPr>
          <w:rFonts w:ascii="Arial" w:hAnsi="Arial" w:cs="Arial"/>
          <w:sz w:val="19"/>
          <w:szCs w:val="19"/>
        </w:rPr>
      </w:pPr>
      <w:r w:rsidRPr="008C6668">
        <w:rPr>
          <w:rFonts w:ascii="Arial" w:hAnsi="Arial" w:cs="Arial"/>
          <w:sz w:val="19"/>
          <w:szCs w:val="19"/>
        </w:rPr>
        <w:t>The total dollars expended by ORA in the prior year, estimated total dollars expended in the current year, and the total dollars proposed for appropriation in the following budget year.</w:t>
      </w:r>
    </w:p>
    <w:p w:rsidR="00972055" w:rsidRPr="008C6668" w:rsidRDefault="00972055" w:rsidP="004E34FE">
      <w:pPr>
        <w:numPr>
          <w:ilvl w:val="0"/>
          <w:numId w:val="7"/>
        </w:numPr>
        <w:spacing w:line="276" w:lineRule="auto"/>
        <w:rPr>
          <w:rFonts w:ascii="Arial" w:hAnsi="Arial" w:cs="Arial"/>
          <w:sz w:val="19"/>
          <w:szCs w:val="19"/>
        </w:rPr>
      </w:pPr>
      <w:r w:rsidRPr="008C6668">
        <w:rPr>
          <w:rFonts w:ascii="Arial" w:hAnsi="Arial" w:cs="Arial"/>
          <w:sz w:val="19"/>
          <w:szCs w:val="19"/>
        </w:rPr>
        <w:t>Workload standards and measures for ORA.</w:t>
      </w:r>
    </w:p>
    <w:p w:rsidR="00972055" w:rsidRPr="008C6668" w:rsidRDefault="00972055" w:rsidP="00DE10F5">
      <w:pPr>
        <w:spacing w:line="276" w:lineRule="auto"/>
        <w:rPr>
          <w:rFonts w:ascii="Arial" w:hAnsi="Arial" w:cs="Arial"/>
          <w:sz w:val="19"/>
          <w:szCs w:val="19"/>
        </w:rPr>
      </w:pPr>
    </w:p>
    <w:p w:rsidR="00972055" w:rsidRPr="008C6668" w:rsidRDefault="00972055" w:rsidP="00DE10F5">
      <w:pPr>
        <w:spacing w:line="276" w:lineRule="auto"/>
        <w:ind w:firstLine="720"/>
        <w:rPr>
          <w:rFonts w:ascii="Arial" w:hAnsi="Arial" w:cs="Arial"/>
          <w:sz w:val="19"/>
          <w:szCs w:val="19"/>
        </w:rPr>
      </w:pPr>
      <w:r w:rsidRPr="008C6668">
        <w:rPr>
          <w:rFonts w:ascii="Arial" w:hAnsi="Arial" w:cs="Arial"/>
          <w:sz w:val="19"/>
          <w:szCs w:val="19"/>
        </w:rPr>
        <w:t xml:space="preserve">More in-depth information on ORA is available </w:t>
      </w:r>
      <w:r w:rsidR="00DE10F5">
        <w:rPr>
          <w:rFonts w:ascii="Arial" w:hAnsi="Arial" w:cs="Arial"/>
          <w:sz w:val="19"/>
          <w:szCs w:val="19"/>
        </w:rPr>
        <w:t xml:space="preserve">at </w:t>
      </w:r>
      <w:r w:rsidR="00DE10F5" w:rsidRPr="00DE10F5">
        <w:rPr>
          <w:rFonts w:ascii="Arial" w:hAnsi="Arial" w:cs="Arial"/>
          <w:i/>
          <w:sz w:val="19"/>
          <w:szCs w:val="19"/>
        </w:rPr>
        <w:t>www.ora.ca.gov</w:t>
      </w:r>
      <w:r w:rsidR="00DE10F5">
        <w:rPr>
          <w:rFonts w:ascii="Arial" w:hAnsi="Arial" w:cs="Arial"/>
          <w:sz w:val="19"/>
          <w:szCs w:val="19"/>
        </w:rPr>
        <w:t>, including</w:t>
      </w:r>
      <w:r w:rsidRPr="008C6668">
        <w:rPr>
          <w:rFonts w:ascii="Arial" w:hAnsi="Arial" w:cs="Arial"/>
          <w:sz w:val="19"/>
          <w:szCs w:val="19"/>
        </w:rPr>
        <w:t xml:space="preserve"> Annual Reports from previous years. ORA’s dedicated and talented staff of professionals will endeavor to continue its role as both an important resource for decision-makers and a key voice for residential and small business utility customers</w:t>
      </w:r>
      <w:r w:rsidR="00CE6E80">
        <w:rPr>
          <w:rFonts w:ascii="Arial" w:hAnsi="Arial" w:cs="Arial"/>
          <w:sz w:val="19"/>
          <w:szCs w:val="19"/>
        </w:rPr>
        <w:t>.</w:t>
      </w:r>
    </w:p>
    <w:p w:rsidR="00972055" w:rsidRPr="008C6668" w:rsidRDefault="00972055" w:rsidP="008C6668">
      <w:pPr>
        <w:spacing w:line="276" w:lineRule="auto"/>
        <w:ind w:firstLine="720"/>
        <w:jc w:val="both"/>
        <w:rPr>
          <w:rFonts w:ascii="Arial" w:hAnsi="Arial" w:cs="Arial"/>
          <w:sz w:val="19"/>
          <w:szCs w:val="19"/>
        </w:rPr>
      </w:pPr>
    </w:p>
    <w:p w:rsidR="00972055" w:rsidRPr="008C6668" w:rsidRDefault="009F0D10" w:rsidP="008C6668">
      <w:pPr>
        <w:spacing w:line="276" w:lineRule="auto"/>
        <w:ind w:left="3600" w:firstLine="720"/>
        <w:jc w:val="both"/>
        <w:rPr>
          <w:rFonts w:ascii="Arial" w:hAnsi="Arial" w:cs="Arial"/>
          <w:sz w:val="19"/>
          <w:szCs w:val="19"/>
        </w:rPr>
      </w:pPr>
      <w:r>
        <w:rPr>
          <w:noProof/>
        </w:rPr>
        <mc:AlternateContent>
          <mc:Choice Requires="wps">
            <w:drawing>
              <wp:anchor distT="0" distB="0" distL="114300" distR="114300" simplePos="0" relativeHeight="251638269" behindDoc="1" locked="0" layoutInCell="1" allowOverlap="1" wp14:anchorId="1B860AF1" wp14:editId="005E76ED">
                <wp:simplePos x="0" y="0"/>
                <wp:positionH relativeFrom="column">
                  <wp:posOffset>2847975</wp:posOffset>
                </wp:positionH>
                <wp:positionV relativeFrom="paragraph">
                  <wp:posOffset>42241</wp:posOffset>
                </wp:positionV>
                <wp:extent cx="1271905" cy="643890"/>
                <wp:effectExtent l="0" t="0" r="0" b="3810"/>
                <wp:wrapNone/>
                <wp:docPr id="5323" name="Text Box 5323"/>
                <wp:cNvGraphicFramePr/>
                <a:graphic xmlns:a="http://schemas.openxmlformats.org/drawingml/2006/main">
                  <a:graphicData uri="http://schemas.microsoft.com/office/word/2010/wordprocessingShape">
                    <wps:wsp>
                      <wps:cNvSpPr txBox="1"/>
                      <wps:spPr>
                        <a:xfrm>
                          <a:off x="0" y="0"/>
                          <a:ext cx="1271905" cy="643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80" w:rsidRDefault="00CE6E80">
                            <w:r>
                              <w:rPr>
                                <w:noProof/>
                              </w:rPr>
                              <w:drawing>
                                <wp:inline distT="0" distB="0" distL="0" distR="0" wp14:anchorId="0562BE07" wp14:editId="3820C5CB">
                                  <wp:extent cx="1082675" cy="560088"/>
                                  <wp:effectExtent l="0" t="0" r="3175" b="0"/>
                                  <wp:docPr id="5322" name="Picture 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2675" cy="5600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23" o:spid="_x0000_s1036" type="#_x0000_t202" style="position:absolute;left:0;text-align:left;margin-left:224.25pt;margin-top:3.35pt;width:100.15pt;height:50.7pt;z-index:-2516782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" filled="f" stroked="f" strokeweight=".5pt">
                <v:textbox>
                  <w:txbxContent>
                    <w:p w:rsidR="00CE6E80" w:rsidRDefault="00CE6E80">
                      <w:r>
                        <w:rPr>
                          <w:noProof/>
                        </w:rPr>
                        <w:drawing>
                          <wp:inline distT="0" distB="0" distL="0" distR="0" wp14:anchorId="0562BE07" wp14:editId="3820C5CB">
                            <wp:extent cx="1082675" cy="560088"/>
                            <wp:effectExtent l="0" t="0" r="3175" b="0"/>
                            <wp:docPr id="5322" name="Picture 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2675" cy="560088"/>
                                    </a:xfrm>
                                    <a:prstGeom prst="rect">
                                      <a:avLst/>
                                    </a:prstGeom>
                                    <a:noFill/>
                                    <a:ln>
                                      <a:noFill/>
                                    </a:ln>
                                  </pic:spPr>
                                </pic:pic>
                              </a:graphicData>
                            </a:graphic>
                          </wp:inline>
                        </w:drawing>
                      </w:r>
                    </w:p>
                  </w:txbxContent>
                </v:textbox>
              </v:shape>
            </w:pict>
          </mc:Fallback>
        </mc:AlternateContent>
      </w:r>
      <w:r w:rsidR="00972055" w:rsidRPr="008C6668">
        <w:rPr>
          <w:rFonts w:ascii="Arial" w:hAnsi="Arial" w:cs="Arial"/>
          <w:sz w:val="19"/>
          <w:szCs w:val="19"/>
        </w:rPr>
        <w:t>Sincerely,</w:t>
      </w:r>
    </w:p>
    <w:p w:rsidR="00972055" w:rsidRPr="008C6668" w:rsidRDefault="00972055" w:rsidP="008C6668">
      <w:pPr>
        <w:spacing w:line="276" w:lineRule="auto"/>
        <w:ind w:firstLine="720"/>
        <w:jc w:val="both"/>
        <w:rPr>
          <w:rFonts w:ascii="Arial" w:hAnsi="Arial" w:cs="Arial"/>
          <w:sz w:val="19"/>
          <w:szCs w:val="19"/>
        </w:rPr>
      </w:pPr>
    </w:p>
    <w:p w:rsidR="00972055" w:rsidRPr="008C6668" w:rsidRDefault="00972055" w:rsidP="008C6668">
      <w:pPr>
        <w:spacing w:line="276" w:lineRule="auto"/>
        <w:ind w:firstLine="720"/>
        <w:jc w:val="both"/>
        <w:rPr>
          <w:rFonts w:ascii="Arial" w:hAnsi="Arial" w:cs="Arial"/>
          <w:sz w:val="19"/>
          <w:szCs w:val="19"/>
        </w:rPr>
      </w:pPr>
    </w:p>
    <w:p w:rsidR="00E75978" w:rsidRDefault="00E75978" w:rsidP="00E75978">
      <w:pPr>
        <w:spacing w:line="276" w:lineRule="auto"/>
        <w:ind w:left="3600" w:firstLine="720"/>
        <w:jc w:val="both"/>
        <w:rPr>
          <w:rFonts w:ascii="Arial" w:hAnsi="Arial" w:cs="Arial"/>
          <w:sz w:val="19"/>
          <w:szCs w:val="19"/>
        </w:rPr>
      </w:pPr>
    </w:p>
    <w:p w:rsidR="00972055" w:rsidRPr="008C6668" w:rsidRDefault="00972055" w:rsidP="008C6668">
      <w:pPr>
        <w:spacing w:line="276" w:lineRule="auto"/>
        <w:ind w:left="3600" w:firstLine="720"/>
        <w:jc w:val="both"/>
        <w:rPr>
          <w:rFonts w:ascii="Arial" w:hAnsi="Arial" w:cs="Arial"/>
          <w:sz w:val="19"/>
          <w:szCs w:val="19"/>
        </w:rPr>
      </w:pPr>
      <w:r w:rsidRPr="008C6668">
        <w:rPr>
          <w:rFonts w:ascii="Arial" w:hAnsi="Arial" w:cs="Arial"/>
          <w:sz w:val="19"/>
          <w:szCs w:val="19"/>
        </w:rPr>
        <w:t>Joseph P. Como</w:t>
      </w:r>
    </w:p>
    <w:p w:rsidR="00972055" w:rsidRPr="008C6668" w:rsidRDefault="00972055" w:rsidP="008C6668">
      <w:pPr>
        <w:ind w:firstLine="720"/>
        <w:jc w:val="both"/>
        <w:rPr>
          <w:rFonts w:ascii="Arial" w:hAnsi="Arial" w:cs="Arial"/>
          <w:sz w:val="19"/>
          <w:szCs w:val="19"/>
        </w:rPr>
      </w:pPr>
      <w:r w:rsidRPr="008C6668">
        <w:rPr>
          <w:rFonts w:ascii="Arial" w:hAnsi="Arial" w:cs="Arial"/>
          <w:sz w:val="19"/>
          <w:szCs w:val="19"/>
        </w:rPr>
        <w:lastRenderedPageBreak/>
        <w:tab/>
      </w:r>
      <w:r w:rsidRPr="008C6668">
        <w:rPr>
          <w:rFonts w:ascii="Arial" w:hAnsi="Arial" w:cs="Arial"/>
          <w:sz w:val="19"/>
          <w:szCs w:val="19"/>
        </w:rPr>
        <w:tab/>
      </w:r>
    </w:p>
    <w:p w:rsidR="00EF2B5D" w:rsidRDefault="00EF2B5D">
      <w:pPr>
        <w:rPr>
          <w:rFonts w:ascii="Arial" w:hAnsi="Arial" w:cs="Arial"/>
          <w:sz w:val="20"/>
          <w:szCs w:val="20"/>
        </w:rPr>
        <w:sectPr w:rsidR="00EF2B5D" w:rsidSect="003D4D3D">
          <w:footerReference w:type="default" r:id="rId28"/>
          <w:headerReference w:type="first" r:id="rId29"/>
          <w:pgSz w:w="12240" w:h="15840" w:code="1"/>
          <w:pgMar w:top="1080" w:right="936" w:bottom="1080" w:left="936" w:header="720" w:footer="432" w:gutter="0"/>
          <w:pgNumType w:start="1"/>
          <w:cols w:space="720"/>
          <w:titlePg/>
          <w:docGrid w:linePitch="360"/>
        </w:sectPr>
      </w:pPr>
    </w:p>
    <w:p w:rsidR="00B654C6" w:rsidRDefault="00B654C6">
      <w:pPr>
        <w:rPr>
          <w:rFonts w:ascii="Arial" w:hAnsi="Arial" w:cs="Arial"/>
          <w:sz w:val="20"/>
          <w:szCs w:val="20"/>
        </w:rPr>
      </w:pPr>
    </w:p>
    <w:p w:rsidR="00972055" w:rsidRDefault="00972055" w:rsidP="00793732">
      <w:pPr>
        <w:rPr>
          <w:rFonts w:ascii="Arial" w:hAnsi="Arial" w:cs="Arial"/>
          <w:sz w:val="20"/>
          <w:szCs w:val="20"/>
        </w:rPr>
      </w:pPr>
    </w:p>
    <w:p w:rsidR="00972055" w:rsidRDefault="00972055" w:rsidP="00793732">
      <w:pPr>
        <w:rPr>
          <w:rFonts w:ascii="Arial" w:hAnsi="Arial" w:cs="Arial"/>
          <w:sz w:val="20"/>
          <w:szCs w:val="20"/>
        </w:rPr>
      </w:pPr>
    </w:p>
    <w:p w:rsidR="00972055" w:rsidRDefault="00972055" w:rsidP="00793732">
      <w:pPr>
        <w:rPr>
          <w:rFonts w:ascii="Arial" w:hAnsi="Arial" w:cs="Arial"/>
          <w:sz w:val="20"/>
          <w:szCs w:val="20"/>
        </w:rPr>
      </w:pPr>
    </w:p>
    <w:p w:rsidR="00972055" w:rsidRDefault="00972055" w:rsidP="00793732">
      <w:pPr>
        <w:rPr>
          <w:rFonts w:ascii="Arial" w:hAnsi="Arial" w:cs="Arial"/>
          <w:sz w:val="20"/>
          <w:szCs w:val="20"/>
        </w:rPr>
      </w:pPr>
    </w:p>
    <w:p w:rsidR="00972055" w:rsidRDefault="00972055" w:rsidP="00793732">
      <w:pPr>
        <w:rPr>
          <w:rFonts w:ascii="Arial" w:hAnsi="Arial" w:cs="Arial"/>
          <w:sz w:val="20"/>
          <w:szCs w:val="20"/>
        </w:rPr>
      </w:pPr>
    </w:p>
    <w:p w:rsidR="00972055" w:rsidRDefault="00972055" w:rsidP="00793732">
      <w:pPr>
        <w:rPr>
          <w:rFonts w:ascii="Arial" w:hAnsi="Arial" w:cs="Arial"/>
          <w:sz w:val="20"/>
          <w:szCs w:val="20"/>
        </w:rPr>
      </w:pPr>
    </w:p>
    <w:p w:rsidR="00972055" w:rsidRDefault="00972055" w:rsidP="00793732">
      <w:pPr>
        <w:rPr>
          <w:rFonts w:ascii="Arial" w:hAnsi="Arial" w:cs="Arial"/>
          <w:sz w:val="20"/>
          <w:szCs w:val="20"/>
        </w:rPr>
      </w:pPr>
    </w:p>
    <w:p w:rsidR="00793732" w:rsidRPr="00793732" w:rsidRDefault="002365F9" w:rsidP="00793732">
      <w:pPr>
        <w:rPr>
          <w:rFonts w:ascii="Arial" w:hAnsi="Arial" w:cs="Arial"/>
          <w:sz w:val="20"/>
          <w:szCs w:val="20"/>
        </w:rPr>
      </w:pPr>
      <w:r w:rsidRPr="004B0213">
        <w:rPr>
          <w:rFonts w:ascii="Century Gothic" w:hAnsi="Century Gothic"/>
          <w:noProof/>
          <w:sz w:val="36"/>
          <w:szCs w:val="36"/>
        </w:rPr>
        <mc:AlternateContent>
          <mc:Choice Requires="wps">
            <w:drawing>
              <wp:anchor distT="0" distB="0" distL="114300" distR="114300" simplePos="0" relativeHeight="251752960" behindDoc="0" locked="0" layoutInCell="1" allowOverlap="1" wp14:anchorId="43051E7D" wp14:editId="366F8AB0">
                <wp:simplePos x="0" y="0"/>
                <wp:positionH relativeFrom="column">
                  <wp:posOffset>828167</wp:posOffset>
                </wp:positionH>
                <wp:positionV relativeFrom="paragraph">
                  <wp:posOffset>107315</wp:posOffset>
                </wp:positionV>
                <wp:extent cx="5382260" cy="951230"/>
                <wp:effectExtent l="0" t="0" r="0" b="0"/>
                <wp:wrapNone/>
                <wp:docPr id="39" name="TextBox 8"/>
                <wp:cNvGraphicFramePr/>
                <a:graphic xmlns:a="http://schemas.openxmlformats.org/drawingml/2006/main">
                  <a:graphicData uri="http://schemas.microsoft.com/office/word/2010/wordprocessingShape">
                    <wps:wsp>
                      <wps:cNvSpPr txBox="1"/>
                      <wps:spPr>
                        <a:xfrm>
                          <a:off x="0" y="0"/>
                          <a:ext cx="5382260" cy="951230"/>
                        </a:xfrm>
                        <a:prstGeom prst="rect">
                          <a:avLst/>
                        </a:prstGeom>
                        <a:noFill/>
                        <a:effectLst>
                          <a:outerShdw blurRad="101600" dist="76200" dir="2700000" algn="tl" rotWithShape="0">
                            <a:prstClr val="black">
                              <a:alpha val="30000"/>
                            </a:prstClr>
                          </a:outerShdw>
                        </a:effectLst>
                      </wps:spPr>
                      <wps:txbx>
                        <w:txbxContent>
                          <w:p w:rsidR="00CE6E80" w:rsidRPr="002365F9" w:rsidRDefault="00CE6E80" w:rsidP="004B0213">
                            <w:pPr>
                              <w:pStyle w:val="NormalWeb"/>
                              <w:jc w:val="center"/>
                              <w:rPr>
                                <w:color w:val="4F81BD" w:themeColor="accent1"/>
                                <w:sz w:val="72"/>
                                <w:szCs w:val="56"/>
                              </w:rPr>
                            </w:pPr>
                            <w:r w:rsidRPr="002365F9">
                              <w:rPr>
                                <w:rFonts w:ascii="Arial Black" w:hAnsi="Arial Black" w:cstheme="minorBidi"/>
                                <w:color w:val="4F81BD" w:themeColor="accent1"/>
                                <w:kern w:val="24"/>
                                <w:sz w:val="96"/>
                                <w:szCs w:val="80"/>
                              </w:rPr>
                              <w:t>T</w:t>
                            </w:r>
                            <w:r w:rsidRPr="002365F9">
                              <w:rPr>
                                <w:rFonts w:ascii="Arial Black" w:hAnsi="Arial Black" w:cstheme="minorBidi"/>
                                <w:color w:val="4F81BD" w:themeColor="accent1"/>
                                <w:kern w:val="24"/>
                                <w:sz w:val="72"/>
                                <w:szCs w:val="56"/>
                              </w:rPr>
                              <w:t xml:space="preserve">able of </w:t>
                            </w:r>
                            <w:r w:rsidRPr="002365F9">
                              <w:rPr>
                                <w:rFonts w:ascii="Arial Black" w:hAnsi="Arial Black" w:cstheme="minorBidi"/>
                                <w:color w:val="4F81BD" w:themeColor="accent1"/>
                                <w:kern w:val="24"/>
                                <w:sz w:val="96"/>
                                <w:szCs w:val="80"/>
                              </w:rPr>
                              <w:t>C</w:t>
                            </w:r>
                            <w:r w:rsidRPr="002365F9">
                              <w:rPr>
                                <w:rFonts w:ascii="Arial Black" w:hAnsi="Arial Black" w:cstheme="minorBidi"/>
                                <w:color w:val="4F81BD" w:themeColor="accent1"/>
                                <w:kern w:val="24"/>
                                <w:sz w:val="72"/>
                                <w:szCs w:val="56"/>
                              </w:rPr>
                              <w:t>ontents</w:t>
                            </w:r>
                          </w:p>
                        </w:txbxContent>
                      </wps:txbx>
                      <wps:bodyPr wrap="square" rtlCol="0">
                        <a:spAutoFit/>
                      </wps:bodyPr>
                    </wps:wsp>
                  </a:graphicData>
                </a:graphic>
                <wp14:sizeRelH relativeFrom="margin">
                  <wp14:pctWidth>0</wp14:pctWidth>
                </wp14:sizeRelH>
              </wp:anchor>
            </w:drawing>
          </mc:Choice>
          <mc:Fallback>
            <w:pict>
              <v:shape id="TextBox 8" o:spid="_x0000_s1037" type="#_x0000_t202" style="position:absolute;margin-left:65.2pt;margin-top:8.45pt;width:423.8pt;height:74.9pt;z-index:2517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" filled="f" stroked="f">
                <v:shadow on="t" color="black" opacity="19660f" origin="-.5,-.5" offset="1.49672mm,1.49672mm"/>
                <v:textbox style="mso-fit-shape-to-text:t">
                  <w:txbxContent>
                    <w:p w:rsidR="00CE6E80" w:rsidRPr="002365F9" w:rsidRDefault="00CE6E80" w:rsidP="004B0213">
                      <w:pPr>
                        <w:pStyle w:val="NormalWeb"/>
                        <w:jc w:val="center"/>
                        <w:rPr>
                          <w:color w:val="4F81BD" w:themeColor="accent1"/>
                          <w:sz w:val="72"/>
                          <w:szCs w:val="56"/>
                        </w:rPr>
                      </w:pPr>
                      <w:r w:rsidRPr="002365F9">
                        <w:rPr>
                          <w:rFonts w:ascii="Arial Black" w:hAnsi="Arial Black" w:cstheme="minorBidi"/>
                          <w:color w:val="4F81BD" w:themeColor="accent1"/>
                          <w:kern w:val="24"/>
                          <w:sz w:val="96"/>
                          <w:szCs w:val="80"/>
                        </w:rPr>
                        <w:t>T</w:t>
                      </w:r>
                      <w:r w:rsidRPr="002365F9">
                        <w:rPr>
                          <w:rFonts w:ascii="Arial Black" w:hAnsi="Arial Black" w:cstheme="minorBidi"/>
                          <w:color w:val="4F81BD" w:themeColor="accent1"/>
                          <w:kern w:val="24"/>
                          <w:sz w:val="72"/>
                          <w:szCs w:val="56"/>
                        </w:rPr>
                        <w:t xml:space="preserve">able of </w:t>
                      </w:r>
                      <w:r w:rsidRPr="002365F9">
                        <w:rPr>
                          <w:rFonts w:ascii="Arial Black" w:hAnsi="Arial Black" w:cstheme="minorBidi"/>
                          <w:color w:val="4F81BD" w:themeColor="accent1"/>
                          <w:kern w:val="24"/>
                          <w:sz w:val="96"/>
                          <w:szCs w:val="80"/>
                        </w:rPr>
                        <w:t>C</w:t>
                      </w:r>
                      <w:r w:rsidRPr="002365F9">
                        <w:rPr>
                          <w:rFonts w:ascii="Arial Black" w:hAnsi="Arial Black" w:cstheme="minorBidi"/>
                          <w:color w:val="4F81BD" w:themeColor="accent1"/>
                          <w:kern w:val="24"/>
                          <w:sz w:val="72"/>
                          <w:szCs w:val="56"/>
                        </w:rPr>
                        <w:t>ontents</w:t>
                      </w:r>
                    </w:p>
                  </w:txbxContent>
                </v:textbox>
              </v:shape>
            </w:pict>
          </mc:Fallback>
        </mc:AlternateContent>
      </w:r>
    </w:p>
    <w:p w:rsidR="00793732" w:rsidRDefault="00793732" w:rsidP="00793732">
      <w:pPr>
        <w:rPr>
          <w:rFonts w:ascii="Arial" w:hAnsi="Arial" w:cs="Arial"/>
          <w:sz w:val="20"/>
          <w:szCs w:val="20"/>
        </w:rPr>
      </w:pPr>
    </w:p>
    <w:p w:rsidR="00972055" w:rsidRDefault="00972055" w:rsidP="00793732">
      <w:pPr>
        <w:rPr>
          <w:rFonts w:ascii="Arial" w:hAnsi="Arial" w:cs="Arial"/>
          <w:sz w:val="20"/>
          <w:szCs w:val="20"/>
        </w:rPr>
      </w:pPr>
    </w:p>
    <w:p w:rsidR="00972055" w:rsidRDefault="00972055" w:rsidP="00793732">
      <w:pPr>
        <w:rPr>
          <w:rFonts w:ascii="Arial" w:hAnsi="Arial" w:cs="Arial"/>
          <w:sz w:val="20"/>
          <w:szCs w:val="20"/>
        </w:rPr>
      </w:pPr>
    </w:p>
    <w:p w:rsidR="00972055" w:rsidRDefault="00972055" w:rsidP="00793732">
      <w:pPr>
        <w:rPr>
          <w:rFonts w:ascii="Arial" w:hAnsi="Arial" w:cs="Arial"/>
          <w:sz w:val="20"/>
          <w:szCs w:val="20"/>
        </w:rPr>
      </w:pPr>
    </w:p>
    <w:p w:rsidR="00972055" w:rsidRDefault="00972055" w:rsidP="00793732">
      <w:pPr>
        <w:rPr>
          <w:rFonts w:ascii="Arial" w:hAnsi="Arial" w:cs="Arial"/>
          <w:sz w:val="20"/>
          <w:szCs w:val="20"/>
        </w:rPr>
      </w:pPr>
    </w:p>
    <w:p w:rsidR="00972055" w:rsidRPr="00793732" w:rsidRDefault="00972055" w:rsidP="00793732">
      <w:pPr>
        <w:rPr>
          <w:rFonts w:ascii="Arial" w:hAnsi="Arial" w:cs="Arial"/>
          <w:sz w:val="20"/>
          <w:szCs w:val="20"/>
        </w:rPr>
      </w:pPr>
    </w:p>
    <w:p w:rsidR="00793732" w:rsidRPr="00793732" w:rsidRDefault="00CD7061" w:rsidP="0079373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69344" behindDoc="1" locked="0" layoutInCell="1" allowOverlap="1" wp14:anchorId="70284BAA" wp14:editId="54EBAEC5">
                <wp:simplePos x="0" y="0"/>
                <wp:positionH relativeFrom="column">
                  <wp:posOffset>3599180</wp:posOffset>
                </wp:positionH>
                <wp:positionV relativeFrom="paragraph">
                  <wp:posOffset>5715</wp:posOffset>
                </wp:positionV>
                <wp:extent cx="5908303" cy="5650302"/>
                <wp:effectExtent l="0" t="0" r="0" b="7620"/>
                <wp:wrapNone/>
                <wp:docPr id="3" name="Oval 3"/>
                <wp:cNvGraphicFramePr/>
                <a:graphic xmlns:a="http://schemas.openxmlformats.org/drawingml/2006/main">
                  <a:graphicData uri="http://schemas.microsoft.com/office/word/2010/wordprocessingShape">
                    <wps:wsp>
                      <wps:cNvSpPr/>
                      <wps:spPr>
                        <a:xfrm>
                          <a:off x="0" y="0"/>
                          <a:ext cx="5908303" cy="5650302"/>
                        </a:xfrm>
                        <a:prstGeom prst="ellipse">
                          <a:avLst/>
                        </a:prstGeom>
                        <a:solidFill>
                          <a:srgbClr val="DCE6F2">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 o:spid="_x0000_s1026" style="position:absolute;margin-left:283.4pt;margin-top:.45pt;width:465.2pt;height:444.9pt;z-index:-25154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" fillcolor="#dce6f2" stroked="f" strokeweight="2pt">
                <v:fill opacity="32896f"/>
              </v:oval>
            </w:pict>
          </mc:Fallback>
        </mc:AlternateContent>
      </w:r>
    </w:p>
    <w:p w:rsidR="00793732" w:rsidRPr="00793732" w:rsidRDefault="00793732" w:rsidP="00793732">
      <w:pPr>
        <w:rPr>
          <w:rFonts w:ascii="Arial" w:hAnsi="Arial" w:cs="Arial"/>
          <w:sz w:val="20"/>
          <w:szCs w:val="20"/>
        </w:rPr>
      </w:pPr>
    </w:p>
    <w:p w:rsidR="00793732" w:rsidRPr="00793732" w:rsidRDefault="00E75978" w:rsidP="00793732">
      <w:pPr>
        <w:rPr>
          <w:rFonts w:ascii="Arial" w:hAnsi="Arial" w:cs="Arial"/>
          <w:sz w:val="20"/>
          <w:szCs w:val="20"/>
        </w:rPr>
      </w:pPr>
      <w:r>
        <w:rPr>
          <w:rFonts w:ascii="Century Gothic" w:hAnsi="Century Gothic"/>
          <w:noProof/>
          <w:sz w:val="36"/>
          <w:szCs w:val="36"/>
        </w:rPr>
        <mc:AlternateContent>
          <mc:Choice Requires="wps">
            <w:drawing>
              <wp:anchor distT="0" distB="0" distL="114300" distR="114300" simplePos="0" relativeHeight="251716096" behindDoc="0" locked="0" layoutInCell="1" allowOverlap="1" wp14:anchorId="709C98B3" wp14:editId="429B02C3">
                <wp:simplePos x="0" y="0"/>
                <wp:positionH relativeFrom="column">
                  <wp:posOffset>318770</wp:posOffset>
                </wp:positionH>
                <wp:positionV relativeFrom="paragraph">
                  <wp:posOffset>41910</wp:posOffset>
                </wp:positionV>
                <wp:extent cx="6875145" cy="3665855"/>
                <wp:effectExtent l="0" t="0" r="0" b="0"/>
                <wp:wrapNone/>
                <wp:docPr id="9" name="Text Box 9"/>
                <wp:cNvGraphicFramePr/>
                <a:graphic xmlns:a="http://schemas.openxmlformats.org/drawingml/2006/main">
                  <a:graphicData uri="http://schemas.microsoft.com/office/word/2010/wordprocessingShape">
                    <wps:wsp>
                      <wps:cNvSpPr txBox="1"/>
                      <wps:spPr>
                        <a:xfrm>
                          <a:off x="0" y="0"/>
                          <a:ext cx="6875145" cy="3665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8407" w:type="dxa"/>
                              <w:tblInd w:w="1071" w:type="dxa"/>
                              <w:tblLook w:val="04A0" w:firstRow="1" w:lastRow="0" w:firstColumn="1" w:lastColumn="0" w:noHBand="0" w:noVBand="1"/>
                            </w:tblPr>
                            <w:tblGrid>
                              <w:gridCol w:w="8407"/>
                            </w:tblGrid>
                            <w:tr w:rsidR="00CE6E80" w:rsidRPr="002F61D8" w:rsidTr="00E01468">
                              <w:trPr>
                                <w:trHeight w:val="1465"/>
                              </w:trPr>
                              <w:tc>
                                <w:tcPr>
                                  <w:tcW w:w="8407" w:type="dxa"/>
                                  <w:shd w:val="clear" w:color="auto" w:fill="auto"/>
                                  <w:vAlign w:val="center"/>
                                </w:tcPr>
                                <w:p w:rsidR="00CE6E80" w:rsidRPr="00B0265C" w:rsidRDefault="00CE6E80" w:rsidP="00B0265C">
                                  <w:pPr>
                                    <w:pStyle w:val="ListParagraph0"/>
                                    <w:numPr>
                                      <w:ilvl w:val="0"/>
                                      <w:numId w:val="42"/>
                                    </w:numPr>
                                    <w:spacing w:after="120"/>
                                    <w:ind w:left="1627"/>
                                    <w:jc w:val="both"/>
                                    <w:rPr>
                                      <w:rFonts w:ascii="Arial Black" w:hAnsi="Arial Black"/>
                                      <w:b/>
                                      <w:sz w:val="44"/>
                                      <w:szCs w:val="40"/>
                                    </w:rPr>
                                  </w:pPr>
                                  <w:r w:rsidRPr="00B0265C">
                                    <w:rPr>
                                      <w:rFonts w:ascii="Arial Black" w:hAnsi="Arial Black"/>
                                      <w:b/>
                                      <w:sz w:val="44"/>
                                      <w:szCs w:val="40"/>
                                    </w:rPr>
                                    <w:t>O</w:t>
                                  </w:r>
                                  <w:r w:rsidRPr="00B0265C">
                                    <w:rPr>
                                      <w:rFonts w:ascii="Arial Black" w:hAnsi="Arial Black"/>
                                      <w:b/>
                                      <w:sz w:val="36"/>
                                      <w:szCs w:val="40"/>
                                    </w:rPr>
                                    <w:t>RA’s</w:t>
                                  </w:r>
                                  <w:r w:rsidRPr="00B0265C">
                                    <w:rPr>
                                      <w:rFonts w:ascii="Arial Black" w:hAnsi="Arial Black"/>
                                      <w:b/>
                                      <w:sz w:val="44"/>
                                      <w:szCs w:val="40"/>
                                    </w:rPr>
                                    <w:t xml:space="preserve"> </w:t>
                                  </w:r>
                                  <w:r w:rsidRPr="00B0265C">
                                    <w:rPr>
                                      <w:rFonts w:ascii="Arial Black" w:hAnsi="Arial Black"/>
                                      <w:b/>
                                      <w:sz w:val="36"/>
                                      <w:szCs w:val="40"/>
                                    </w:rPr>
                                    <w:t>2015</w:t>
                                  </w:r>
                                  <w:r w:rsidRPr="00B0265C">
                                    <w:rPr>
                                      <w:rFonts w:ascii="Arial Black" w:hAnsi="Arial Black"/>
                                      <w:b/>
                                      <w:sz w:val="44"/>
                                      <w:szCs w:val="40"/>
                                    </w:rPr>
                                    <w:t xml:space="preserve"> A</w:t>
                                  </w:r>
                                  <w:r w:rsidRPr="00B0265C">
                                    <w:rPr>
                                      <w:rFonts w:ascii="Arial Black" w:hAnsi="Arial Black"/>
                                      <w:b/>
                                      <w:sz w:val="36"/>
                                      <w:szCs w:val="40"/>
                                    </w:rPr>
                                    <w:t>dvocacy</w:t>
                                  </w:r>
                                  <w:r w:rsidRPr="00B0265C">
                                    <w:rPr>
                                      <w:rFonts w:ascii="Arial Black" w:hAnsi="Arial Black"/>
                                      <w:b/>
                                      <w:sz w:val="44"/>
                                      <w:szCs w:val="40"/>
                                    </w:rPr>
                                    <w:t xml:space="preserve"> W</w:t>
                                  </w:r>
                                  <w:r w:rsidRPr="00B0265C">
                                    <w:rPr>
                                      <w:rFonts w:ascii="Arial Black" w:hAnsi="Arial Black"/>
                                      <w:b/>
                                      <w:sz w:val="36"/>
                                      <w:szCs w:val="40"/>
                                    </w:rPr>
                                    <w:t>ork</w:t>
                                  </w:r>
                                </w:p>
                                <w:p w:rsidR="00CE6E80" w:rsidRPr="00B0265C" w:rsidRDefault="00CE6E80" w:rsidP="00B0265C">
                                  <w:pPr>
                                    <w:pStyle w:val="ListParagraph0"/>
                                    <w:spacing w:after="120"/>
                                    <w:ind w:left="1627"/>
                                    <w:jc w:val="both"/>
                                    <w:rPr>
                                      <w:rFonts w:ascii="Arial Black" w:hAnsi="Arial Black"/>
                                      <w:b/>
                                      <w:color w:val="4F81BD" w:themeColor="accent1"/>
                                      <w:sz w:val="32"/>
                                      <w:szCs w:val="40"/>
                                    </w:rPr>
                                  </w:pPr>
                                  <w:r w:rsidRPr="00B0265C">
                                    <w:rPr>
                                      <w:rFonts w:ascii="Arial Black" w:hAnsi="Arial Black"/>
                                      <w:b/>
                                      <w:color w:val="4F81BD" w:themeColor="accent1"/>
                                      <w:sz w:val="32"/>
                                      <w:szCs w:val="40"/>
                                    </w:rPr>
                                    <w:t xml:space="preserve">      </w:t>
                                  </w:r>
                                  <w:r w:rsidRPr="00B0265C">
                                    <w:rPr>
                                      <w:rFonts w:ascii="Arial Black" w:hAnsi="Arial Black"/>
                                      <w:b/>
                                      <w:color w:val="4F81BD" w:themeColor="accent1"/>
                                      <w:sz w:val="36"/>
                                      <w:szCs w:val="40"/>
                                    </w:rPr>
                                    <w:t>E</w:t>
                                  </w:r>
                                  <w:r w:rsidRPr="00B0265C">
                                    <w:rPr>
                                      <w:rFonts w:ascii="Arial Black" w:hAnsi="Arial Black"/>
                                      <w:b/>
                                      <w:color w:val="4F81BD" w:themeColor="accent1"/>
                                      <w:sz w:val="32"/>
                                      <w:szCs w:val="40"/>
                                    </w:rPr>
                                    <w:t>nergy                              2</w:t>
                                  </w:r>
                                </w:p>
                                <w:p w:rsidR="00CE6E80" w:rsidRPr="00B0265C" w:rsidRDefault="00CE6E80" w:rsidP="00B0265C">
                                  <w:pPr>
                                    <w:pStyle w:val="ListParagraph0"/>
                                    <w:spacing w:after="120"/>
                                    <w:ind w:left="1627"/>
                                    <w:jc w:val="both"/>
                                    <w:rPr>
                                      <w:rFonts w:ascii="Arial Black" w:hAnsi="Arial Black"/>
                                      <w:b/>
                                      <w:color w:val="4F81BD" w:themeColor="accent1"/>
                                      <w:sz w:val="32"/>
                                      <w:szCs w:val="40"/>
                                    </w:rPr>
                                  </w:pPr>
                                  <w:r w:rsidRPr="00B0265C">
                                    <w:rPr>
                                      <w:rFonts w:ascii="Arial Black" w:hAnsi="Arial Black"/>
                                      <w:b/>
                                      <w:color w:val="4F81BD" w:themeColor="accent1"/>
                                      <w:sz w:val="32"/>
                                      <w:szCs w:val="40"/>
                                    </w:rPr>
                                    <w:t xml:space="preserve">      </w:t>
                                  </w:r>
                                  <w:r w:rsidRPr="00B0265C">
                                    <w:rPr>
                                      <w:rFonts w:ascii="Arial Black" w:hAnsi="Arial Black"/>
                                      <w:b/>
                                      <w:color w:val="4F81BD" w:themeColor="accent1"/>
                                      <w:sz w:val="36"/>
                                      <w:szCs w:val="40"/>
                                    </w:rPr>
                                    <w:t>W</w:t>
                                  </w:r>
                                  <w:r w:rsidRPr="00B0265C">
                                    <w:rPr>
                                      <w:rFonts w:ascii="Arial Black" w:hAnsi="Arial Black"/>
                                      <w:b/>
                                      <w:color w:val="4F81BD" w:themeColor="accent1"/>
                                      <w:sz w:val="32"/>
                                      <w:szCs w:val="40"/>
                                    </w:rPr>
                                    <w:t xml:space="preserve">ater                              </w:t>
                                  </w:r>
                                  <w:r w:rsidRPr="007922EC">
                                    <w:rPr>
                                      <w:rFonts w:ascii="Arial Black" w:hAnsi="Arial Black"/>
                                      <w:b/>
                                      <w:color w:val="4F81BD" w:themeColor="accent1"/>
                                      <w:sz w:val="32"/>
                                      <w:szCs w:val="40"/>
                                    </w:rPr>
                                    <w:t>11</w:t>
                                  </w:r>
                                </w:p>
                                <w:p w:rsidR="00CE6E80" w:rsidRDefault="00CE6E80" w:rsidP="00030CD6">
                                  <w:pPr>
                                    <w:pStyle w:val="ListParagraph0"/>
                                    <w:spacing w:after="120"/>
                                    <w:ind w:left="1627"/>
                                    <w:jc w:val="both"/>
                                    <w:rPr>
                                      <w:rFonts w:ascii="Arial Black" w:hAnsi="Arial Black"/>
                                      <w:b/>
                                      <w:color w:val="4F81BD" w:themeColor="accent1"/>
                                      <w:sz w:val="32"/>
                                      <w:szCs w:val="40"/>
                                    </w:rPr>
                                  </w:pPr>
                                  <w:r w:rsidRPr="00B0265C">
                                    <w:rPr>
                                      <w:rFonts w:ascii="Arial Black" w:hAnsi="Arial Black"/>
                                      <w:b/>
                                      <w:color w:val="4F81BD" w:themeColor="accent1"/>
                                      <w:sz w:val="32"/>
                                      <w:szCs w:val="40"/>
                                    </w:rPr>
                                    <w:t xml:space="preserve">      </w:t>
                                  </w:r>
                                  <w:r w:rsidRPr="00B0265C">
                                    <w:rPr>
                                      <w:rFonts w:ascii="Arial Black" w:hAnsi="Arial Black"/>
                                      <w:b/>
                                      <w:color w:val="4F81BD" w:themeColor="accent1"/>
                                      <w:sz w:val="36"/>
                                      <w:szCs w:val="40"/>
                                    </w:rPr>
                                    <w:t>C</w:t>
                                  </w:r>
                                  <w:r w:rsidRPr="00B0265C">
                                    <w:rPr>
                                      <w:rFonts w:ascii="Arial Black" w:hAnsi="Arial Black"/>
                                      <w:b/>
                                      <w:color w:val="4F81BD" w:themeColor="accent1"/>
                                      <w:sz w:val="32"/>
                                      <w:szCs w:val="40"/>
                                    </w:rPr>
                                    <w:t xml:space="preserve">ommunications           </w:t>
                                  </w:r>
                                  <w:r>
                                    <w:rPr>
                                      <w:rFonts w:ascii="Arial Black" w:hAnsi="Arial Black"/>
                                      <w:b/>
                                      <w:color w:val="4F81BD" w:themeColor="accent1"/>
                                      <w:sz w:val="32"/>
                                      <w:szCs w:val="40"/>
                                    </w:rPr>
                                    <w:t xml:space="preserve"> </w:t>
                                  </w:r>
                                  <w:r w:rsidRPr="007922EC">
                                    <w:rPr>
                                      <w:rFonts w:ascii="Arial Black" w:hAnsi="Arial Black"/>
                                      <w:b/>
                                      <w:color w:val="4F81BD" w:themeColor="accent1"/>
                                      <w:sz w:val="32"/>
                                      <w:szCs w:val="40"/>
                                    </w:rPr>
                                    <w:t>14</w:t>
                                  </w:r>
                                </w:p>
                                <w:p w:rsidR="00CE6E80" w:rsidRPr="00B0265C" w:rsidRDefault="00CE6E80" w:rsidP="00030CD6">
                                  <w:pPr>
                                    <w:pStyle w:val="ListParagraph0"/>
                                    <w:spacing w:after="120"/>
                                    <w:ind w:left="1627"/>
                                    <w:jc w:val="both"/>
                                    <w:rPr>
                                      <w:rFonts w:ascii="Arial Black" w:hAnsi="Arial Black"/>
                                      <w:b/>
                                      <w:sz w:val="28"/>
                                      <w:szCs w:val="40"/>
                                    </w:rPr>
                                  </w:pPr>
                                </w:p>
                              </w:tc>
                            </w:tr>
                            <w:tr w:rsidR="00CE6E80" w:rsidRPr="002F61D8" w:rsidTr="00E01468">
                              <w:trPr>
                                <w:trHeight w:val="1465"/>
                              </w:trPr>
                              <w:tc>
                                <w:tcPr>
                                  <w:tcW w:w="8407" w:type="dxa"/>
                                  <w:shd w:val="clear" w:color="auto" w:fill="auto"/>
                                  <w:vAlign w:val="center"/>
                                </w:tcPr>
                                <w:p w:rsidR="00CE6E80" w:rsidRPr="00160420" w:rsidRDefault="00CE6E80" w:rsidP="00864669">
                                  <w:pPr>
                                    <w:spacing w:after="360"/>
                                    <w:rPr>
                                      <w:rFonts w:ascii="Arial Black" w:hAnsi="Arial Black"/>
                                      <w:b/>
                                      <w:sz w:val="40"/>
                                      <w:szCs w:val="40"/>
                                    </w:rPr>
                                  </w:pPr>
                                  <w:r w:rsidRPr="007922EC">
                                    <w:rPr>
                                      <w:rFonts w:ascii="Arial Black" w:hAnsi="Arial Black"/>
                                      <w:b/>
                                      <w:sz w:val="40"/>
                                      <w:szCs w:val="40"/>
                                    </w:rPr>
                                    <w:t>17</w:t>
                                  </w:r>
                                  <w:r w:rsidRPr="00160420">
                                    <w:rPr>
                                      <w:rFonts w:ascii="Arial Black" w:hAnsi="Arial Black"/>
                                      <w:b/>
                                      <w:sz w:val="40"/>
                                      <w:szCs w:val="40"/>
                                    </w:rPr>
                                    <w:t xml:space="preserve">        </w:t>
                                  </w:r>
                                  <w:r w:rsidRPr="00B0265C">
                                    <w:rPr>
                                      <w:rFonts w:ascii="Arial Black" w:hAnsi="Arial Black"/>
                                      <w:b/>
                                      <w:sz w:val="44"/>
                                      <w:szCs w:val="40"/>
                                    </w:rPr>
                                    <w:t>O</w:t>
                                  </w:r>
                                  <w:r w:rsidRPr="00B0265C">
                                    <w:rPr>
                                      <w:rFonts w:ascii="Arial Black" w:hAnsi="Arial Black"/>
                                      <w:b/>
                                      <w:sz w:val="36"/>
                                      <w:szCs w:val="40"/>
                                    </w:rPr>
                                    <w:t xml:space="preserve">RA </w:t>
                                  </w:r>
                                  <w:r w:rsidRPr="00B0265C">
                                    <w:rPr>
                                      <w:rFonts w:ascii="Arial Black" w:hAnsi="Arial Black"/>
                                      <w:b/>
                                      <w:sz w:val="44"/>
                                      <w:szCs w:val="40"/>
                                    </w:rPr>
                                    <w:t>R</w:t>
                                  </w:r>
                                  <w:r w:rsidRPr="00B0265C">
                                    <w:rPr>
                                      <w:rFonts w:ascii="Arial Black" w:hAnsi="Arial Black"/>
                                      <w:b/>
                                      <w:sz w:val="36"/>
                                      <w:szCs w:val="40"/>
                                    </w:rPr>
                                    <w:t>eport</w:t>
                                  </w:r>
                                  <w:r w:rsidRPr="00B0265C">
                                    <w:rPr>
                                      <w:rFonts w:ascii="Arial Black" w:hAnsi="Arial Black"/>
                                      <w:b/>
                                      <w:sz w:val="44"/>
                                      <w:szCs w:val="40"/>
                                    </w:rPr>
                                    <w:t xml:space="preserve"> </w:t>
                                  </w:r>
                                  <w:r w:rsidRPr="00B0265C">
                                    <w:rPr>
                                      <w:rFonts w:ascii="Arial Black" w:hAnsi="Arial Black"/>
                                      <w:b/>
                                      <w:sz w:val="36"/>
                                      <w:szCs w:val="40"/>
                                    </w:rPr>
                                    <w:t xml:space="preserve">to the </w:t>
                                  </w:r>
                                  <w:r w:rsidRPr="00B0265C">
                                    <w:rPr>
                                      <w:rFonts w:ascii="Arial Black" w:hAnsi="Arial Black"/>
                                      <w:b/>
                                      <w:sz w:val="44"/>
                                      <w:szCs w:val="40"/>
                                    </w:rPr>
                                    <w:t>L</w:t>
                                  </w:r>
                                  <w:r w:rsidRPr="00B0265C">
                                    <w:rPr>
                                      <w:rFonts w:ascii="Arial Black" w:hAnsi="Arial Black"/>
                                      <w:b/>
                                      <w:sz w:val="36"/>
                                      <w:szCs w:val="40"/>
                                    </w:rPr>
                                    <w:t>egislature</w:t>
                                  </w:r>
                                </w:p>
                              </w:tc>
                            </w:tr>
                            <w:tr w:rsidR="00CE6E80" w:rsidRPr="002F61D8" w:rsidTr="00E01468">
                              <w:trPr>
                                <w:trHeight w:val="1465"/>
                              </w:trPr>
                              <w:tc>
                                <w:tcPr>
                                  <w:tcW w:w="8407" w:type="dxa"/>
                                  <w:shd w:val="clear" w:color="auto" w:fill="auto"/>
                                  <w:vAlign w:val="center"/>
                                </w:tcPr>
                                <w:p w:rsidR="00CE6E80" w:rsidRPr="00160420" w:rsidRDefault="00CE6E80" w:rsidP="00864669">
                                  <w:pPr>
                                    <w:rPr>
                                      <w:rFonts w:ascii="Arial Black" w:hAnsi="Arial Black"/>
                                      <w:b/>
                                      <w:sz w:val="40"/>
                                      <w:szCs w:val="40"/>
                                    </w:rPr>
                                  </w:pPr>
                                  <w:r w:rsidRPr="007922EC">
                                    <w:rPr>
                                      <w:rFonts w:ascii="Arial Black" w:hAnsi="Arial Black"/>
                                      <w:b/>
                                      <w:sz w:val="40"/>
                                      <w:szCs w:val="40"/>
                                    </w:rPr>
                                    <w:t>25</w:t>
                                  </w:r>
                                  <w:r w:rsidRPr="00160420">
                                    <w:rPr>
                                      <w:rFonts w:ascii="Arial Black" w:hAnsi="Arial Black"/>
                                      <w:b/>
                                      <w:sz w:val="40"/>
                                      <w:szCs w:val="40"/>
                                    </w:rPr>
                                    <w:t xml:space="preserve">        </w:t>
                                  </w:r>
                                  <w:r w:rsidRPr="00B0265C">
                                    <w:rPr>
                                      <w:rFonts w:ascii="Arial Black" w:hAnsi="Arial Black"/>
                                      <w:b/>
                                      <w:sz w:val="44"/>
                                      <w:szCs w:val="40"/>
                                    </w:rPr>
                                    <w:t>O</w:t>
                                  </w:r>
                                  <w:r w:rsidRPr="00B0265C">
                                    <w:rPr>
                                      <w:rFonts w:ascii="Arial Black" w:hAnsi="Arial Black"/>
                                      <w:b/>
                                      <w:sz w:val="36"/>
                                      <w:szCs w:val="40"/>
                                    </w:rPr>
                                    <w:t>RA</w:t>
                                  </w:r>
                                  <w:r w:rsidRPr="00B0265C">
                                    <w:rPr>
                                      <w:rFonts w:ascii="Arial Black" w:hAnsi="Arial Black"/>
                                      <w:b/>
                                      <w:sz w:val="44"/>
                                      <w:szCs w:val="40"/>
                                    </w:rPr>
                                    <w:t xml:space="preserve"> </w:t>
                                  </w:r>
                                  <w:r w:rsidRPr="00B0265C">
                                    <w:rPr>
                                      <w:rFonts w:ascii="Arial Black" w:hAnsi="Arial Black"/>
                                      <w:b/>
                                      <w:sz w:val="36"/>
                                      <w:szCs w:val="40"/>
                                    </w:rPr>
                                    <w:t>in</w:t>
                                  </w:r>
                                  <w:r w:rsidRPr="00B0265C">
                                    <w:rPr>
                                      <w:rFonts w:ascii="Arial Black" w:hAnsi="Arial Black"/>
                                      <w:b/>
                                      <w:sz w:val="44"/>
                                      <w:szCs w:val="40"/>
                                    </w:rPr>
                                    <w:t xml:space="preserve"> S</w:t>
                                  </w:r>
                                  <w:r w:rsidRPr="00B0265C">
                                    <w:rPr>
                                      <w:rFonts w:ascii="Arial Black" w:hAnsi="Arial Black"/>
                                      <w:b/>
                                      <w:sz w:val="36"/>
                                      <w:szCs w:val="40"/>
                                    </w:rPr>
                                    <w:t>acramento</w:t>
                                  </w:r>
                                </w:p>
                              </w:tc>
                            </w:tr>
                          </w:tbl>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Pr="002F61D8" w:rsidRDefault="00CE6E80">
                            <w:pPr>
                              <w:rPr>
                                <w:rFonts w:ascii="Arial Black" w:hAnsi="Arial Blac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38" type="#_x0000_t202" style="position:absolute;margin-left:25.1pt;margin-top:3.3pt;width:541.35pt;height:288.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" filled="f" stroked="f" strokeweight=".5pt">
                <v:textbox>
                  <w:txbxContent>
                    <w:tbl>
                      <w:tblPr>
                        <w:tblW w:w="8407" w:type="dxa"/>
                        <w:tblInd w:w="1071" w:type="dxa"/>
                        <w:tblLook w:val="04A0" w:firstRow="1" w:lastRow="0" w:firstColumn="1" w:lastColumn="0" w:noHBand="0" w:noVBand="1"/>
                      </w:tblPr>
                      <w:tblGrid>
                        <w:gridCol w:w="8407"/>
                      </w:tblGrid>
                      <w:tr w:rsidR="00CE6E80" w:rsidRPr="002F61D8" w:rsidTr="00E01468">
                        <w:trPr>
                          <w:trHeight w:val="1465"/>
                        </w:trPr>
                        <w:tc>
                          <w:tcPr>
                            <w:tcW w:w="8407" w:type="dxa"/>
                            <w:shd w:val="clear" w:color="auto" w:fill="auto"/>
                            <w:vAlign w:val="center"/>
                          </w:tcPr>
                          <w:p w:rsidR="00CE6E80" w:rsidRPr="00B0265C" w:rsidRDefault="00CE6E80" w:rsidP="00B0265C">
                            <w:pPr>
                              <w:pStyle w:val="ListParagraph0"/>
                              <w:numPr>
                                <w:ilvl w:val="0"/>
                                <w:numId w:val="42"/>
                              </w:numPr>
                              <w:spacing w:after="120"/>
                              <w:ind w:left="1627"/>
                              <w:jc w:val="both"/>
                              <w:rPr>
                                <w:rFonts w:ascii="Arial Black" w:hAnsi="Arial Black"/>
                                <w:b/>
                                <w:sz w:val="44"/>
                                <w:szCs w:val="40"/>
                              </w:rPr>
                            </w:pPr>
                            <w:r w:rsidRPr="00B0265C">
                              <w:rPr>
                                <w:rFonts w:ascii="Arial Black" w:hAnsi="Arial Black"/>
                                <w:b/>
                                <w:sz w:val="44"/>
                                <w:szCs w:val="40"/>
                              </w:rPr>
                              <w:t>O</w:t>
                            </w:r>
                            <w:r w:rsidRPr="00B0265C">
                              <w:rPr>
                                <w:rFonts w:ascii="Arial Black" w:hAnsi="Arial Black"/>
                                <w:b/>
                                <w:sz w:val="36"/>
                                <w:szCs w:val="40"/>
                              </w:rPr>
                              <w:t>RA’s</w:t>
                            </w:r>
                            <w:r w:rsidRPr="00B0265C">
                              <w:rPr>
                                <w:rFonts w:ascii="Arial Black" w:hAnsi="Arial Black"/>
                                <w:b/>
                                <w:sz w:val="44"/>
                                <w:szCs w:val="40"/>
                              </w:rPr>
                              <w:t xml:space="preserve"> </w:t>
                            </w:r>
                            <w:r w:rsidRPr="00B0265C">
                              <w:rPr>
                                <w:rFonts w:ascii="Arial Black" w:hAnsi="Arial Black"/>
                                <w:b/>
                                <w:sz w:val="36"/>
                                <w:szCs w:val="40"/>
                              </w:rPr>
                              <w:t>2015</w:t>
                            </w:r>
                            <w:r w:rsidRPr="00B0265C">
                              <w:rPr>
                                <w:rFonts w:ascii="Arial Black" w:hAnsi="Arial Black"/>
                                <w:b/>
                                <w:sz w:val="44"/>
                                <w:szCs w:val="40"/>
                              </w:rPr>
                              <w:t xml:space="preserve"> A</w:t>
                            </w:r>
                            <w:r w:rsidRPr="00B0265C">
                              <w:rPr>
                                <w:rFonts w:ascii="Arial Black" w:hAnsi="Arial Black"/>
                                <w:b/>
                                <w:sz w:val="36"/>
                                <w:szCs w:val="40"/>
                              </w:rPr>
                              <w:t>dvocacy</w:t>
                            </w:r>
                            <w:r w:rsidRPr="00B0265C">
                              <w:rPr>
                                <w:rFonts w:ascii="Arial Black" w:hAnsi="Arial Black"/>
                                <w:b/>
                                <w:sz w:val="44"/>
                                <w:szCs w:val="40"/>
                              </w:rPr>
                              <w:t xml:space="preserve"> W</w:t>
                            </w:r>
                            <w:r w:rsidRPr="00B0265C">
                              <w:rPr>
                                <w:rFonts w:ascii="Arial Black" w:hAnsi="Arial Black"/>
                                <w:b/>
                                <w:sz w:val="36"/>
                                <w:szCs w:val="40"/>
                              </w:rPr>
                              <w:t>ork</w:t>
                            </w:r>
                          </w:p>
                          <w:p w:rsidR="00CE6E80" w:rsidRPr="00B0265C" w:rsidRDefault="00CE6E80" w:rsidP="00B0265C">
                            <w:pPr>
                              <w:pStyle w:val="ListParagraph0"/>
                              <w:spacing w:after="120"/>
                              <w:ind w:left="1627"/>
                              <w:jc w:val="both"/>
                              <w:rPr>
                                <w:rFonts w:ascii="Arial Black" w:hAnsi="Arial Black"/>
                                <w:b/>
                                <w:color w:val="4F81BD" w:themeColor="accent1"/>
                                <w:sz w:val="32"/>
                                <w:szCs w:val="40"/>
                              </w:rPr>
                            </w:pPr>
                            <w:r w:rsidRPr="00B0265C">
                              <w:rPr>
                                <w:rFonts w:ascii="Arial Black" w:hAnsi="Arial Black"/>
                                <w:b/>
                                <w:color w:val="4F81BD" w:themeColor="accent1"/>
                                <w:sz w:val="32"/>
                                <w:szCs w:val="40"/>
                              </w:rPr>
                              <w:t xml:space="preserve">      </w:t>
                            </w:r>
                            <w:r w:rsidRPr="00B0265C">
                              <w:rPr>
                                <w:rFonts w:ascii="Arial Black" w:hAnsi="Arial Black"/>
                                <w:b/>
                                <w:color w:val="4F81BD" w:themeColor="accent1"/>
                                <w:sz w:val="36"/>
                                <w:szCs w:val="40"/>
                              </w:rPr>
                              <w:t>E</w:t>
                            </w:r>
                            <w:r w:rsidRPr="00B0265C">
                              <w:rPr>
                                <w:rFonts w:ascii="Arial Black" w:hAnsi="Arial Black"/>
                                <w:b/>
                                <w:color w:val="4F81BD" w:themeColor="accent1"/>
                                <w:sz w:val="32"/>
                                <w:szCs w:val="40"/>
                              </w:rPr>
                              <w:t>nergy                              2</w:t>
                            </w:r>
                          </w:p>
                          <w:p w:rsidR="00CE6E80" w:rsidRPr="00B0265C" w:rsidRDefault="00CE6E80" w:rsidP="00B0265C">
                            <w:pPr>
                              <w:pStyle w:val="ListParagraph0"/>
                              <w:spacing w:after="120"/>
                              <w:ind w:left="1627"/>
                              <w:jc w:val="both"/>
                              <w:rPr>
                                <w:rFonts w:ascii="Arial Black" w:hAnsi="Arial Black"/>
                                <w:b/>
                                <w:color w:val="4F81BD" w:themeColor="accent1"/>
                                <w:sz w:val="32"/>
                                <w:szCs w:val="40"/>
                              </w:rPr>
                            </w:pPr>
                            <w:r w:rsidRPr="00B0265C">
                              <w:rPr>
                                <w:rFonts w:ascii="Arial Black" w:hAnsi="Arial Black"/>
                                <w:b/>
                                <w:color w:val="4F81BD" w:themeColor="accent1"/>
                                <w:sz w:val="32"/>
                                <w:szCs w:val="40"/>
                              </w:rPr>
                              <w:t xml:space="preserve">      </w:t>
                            </w:r>
                            <w:r w:rsidRPr="00B0265C">
                              <w:rPr>
                                <w:rFonts w:ascii="Arial Black" w:hAnsi="Arial Black"/>
                                <w:b/>
                                <w:color w:val="4F81BD" w:themeColor="accent1"/>
                                <w:sz w:val="36"/>
                                <w:szCs w:val="40"/>
                              </w:rPr>
                              <w:t>W</w:t>
                            </w:r>
                            <w:r w:rsidRPr="00B0265C">
                              <w:rPr>
                                <w:rFonts w:ascii="Arial Black" w:hAnsi="Arial Black"/>
                                <w:b/>
                                <w:color w:val="4F81BD" w:themeColor="accent1"/>
                                <w:sz w:val="32"/>
                                <w:szCs w:val="40"/>
                              </w:rPr>
                              <w:t xml:space="preserve">ater                              </w:t>
                            </w:r>
                            <w:r w:rsidRPr="007922EC">
                              <w:rPr>
                                <w:rFonts w:ascii="Arial Black" w:hAnsi="Arial Black"/>
                                <w:b/>
                                <w:color w:val="4F81BD" w:themeColor="accent1"/>
                                <w:sz w:val="32"/>
                                <w:szCs w:val="40"/>
                              </w:rPr>
                              <w:t>11</w:t>
                            </w:r>
                          </w:p>
                          <w:p w:rsidR="00CE6E80" w:rsidRDefault="00CE6E80" w:rsidP="00030CD6">
                            <w:pPr>
                              <w:pStyle w:val="ListParagraph0"/>
                              <w:spacing w:after="120"/>
                              <w:ind w:left="1627"/>
                              <w:jc w:val="both"/>
                              <w:rPr>
                                <w:rFonts w:ascii="Arial Black" w:hAnsi="Arial Black"/>
                                <w:b/>
                                <w:color w:val="4F81BD" w:themeColor="accent1"/>
                                <w:sz w:val="32"/>
                                <w:szCs w:val="40"/>
                              </w:rPr>
                            </w:pPr>
                            <w:r w:rsidRPr="00B0265C">
                              <w:rPr>
                                <w:rFonts w:ascii="Arial Black" w:hAnsi="Arial Black"/>
                                <w:b/>
                                <w:color w:val="4F81BD" w:themeColor="accent1"/>
                                <w:sz w:val="32"/>
                                <w:szCs w:val="40"/>
                              </w:rPr>
                              <w:t xml:space="preserve">      </w:t>
                            </w:r>
                            <w:r w:rsidRPr="00B0265C">
                              <w:rPr>
                                <w:rFonts w:ascii="Arial Black" w:hAnsi="Arial Black"/>
                                <w:b/>
                                <w:color w:val="4F81BD" w:themeColor="accent1"/>
                                <w:sz w:val="36"/>
                                <w:szCs w:val="40"/>
                              </w:rPr>
                              <w:t>C</w:t>
                            </w:r>
                            <w:r w:rsidRPr="00B0265C">
                              <w:rPr>
                                <w:rFonts w:ascii="Arial Black" w:hAnsi="Arial Black"/>
                                <w:b/>
                                <w:color w:val="4F81BD" w:themeColor="accent1"/>
                                <w:sz w:val="32"/>
                                <w:szCs w:val="40"/>
                              </w:rPr>
                              <w:t xml:space="preserve">ommunications           </w:t>
                            </w:r>
                            <w:r>
                              <w:rPr>
                                <w:rFonts w:ascii="Arial Black" w:hAnsi="Arial Black"/>
                                <w:b/>
                                <w:color w:val="4F81BD" w:themeColor="accent1"/>
                                <w:sz w:val="32"/>
                                <w:szCs w:val="40"/>
                              </w:rPr>
                              <w:t xml:space="preserve"> </w:t>
                            </w:r>
                            <w:r w:rsidRPr="007922EC">
                              <w:rPr>
                                <w:rFonts w:ascii="Arial Black" w:hAnsi="Arial Black"/>
                                <w:b/>
                                <w:color w:val="4F81BD" w:themeColor="accent1"/>
                                <w:sz w:val="32"/>
                                <w:szCs w:val="40"/>
                              </w:rPr>
                              <w:t>14</w:t>
                            </w:r>
                          </w:p>
                          <w:p w:rsidR="00CE6E80" w:rsidRPr="00B0265C" w:rsidRDefault="00CE6E80" w:rsidP="00030CD6">
                            <w:pPr>
                              <w:pStyle w:val="ListParagraph0"/>
                              <w:spacing w:after="120"/>
                              <w:ind w:left="1627"/>
                              <w:jc w:val="both"/>
                              <w:rPr>
                                <w:rFonts w:ascii="Arial Black" w:hAnsi="Arial Black"/>
                                <w:b/>
                                <w:sz w:val="28"/>
                                <w:szCs w:val="40"/>
                              </w:rPr>
                            </w:pPr>
                          </w:p>
                        </w:tc>
                      </w:tr>
                      <w:tr w:rsidR="00CE6E80" w:rsidRPr="002F61D8" w:rsidTr="00E01468">
                        <w:trPr>
                          <w:trHeight w:val="1465"/>
                        </w:trPr>
                        <w:tc>
                          <w:tcPr>
                            <w:tcW w:w="8407" w:type="dxa"/>
                            <w:shd w:val="clear" w:color="auto" w:fill="auto"/>
                            <w:vAlign w:val="center"/>
                          </w:tcPr>
                          <w:p w:rsidR="00CE6E80" w:rsidRPr="00160420" w:rsidRDefault="00CE6E80" w:rsidP="00864669">
                            <w:pPr>
                              <w:spacing w:after="360"/>
                              <w:rPr>
                                <w:rFonts w:ascii="Arial Black" w:hAnsi="Arial Black"/>
                                <w:b/>
                                <w:sz w:val="40"/>
                                <w:szCs w:val="40"/>
                              </w:rPr>
                            </w:pPr>
                            <w:r w:rsidRPr="007922EC">
                              <w:rPr>
                                <w:rFonts w:ascii="Arial Black" w:hAnsi="Arial Black"/>
                                <w:b/>
                                <w:sz w:val="40"/>
                                <w:szCs w:val="40"/>
                              </w:rPr>
                              <w:t>17</w:t>
                            </w:r>
                            <w:r w:rsidRPr="00160420">
                              <w:rPr>
                                <w:rFonts w:ascii="Arial Black" w:hAnsi="Arial Black"/>
                                <w:b/>
                                <w:sz w:val="40"/>
                                <w:szCs w:val="40"/>
                              </w:rPr>
                              <w:t xml:space="preserve">        </w:t>
                            </w:r>
                            <w:r w:rsidRPr="00B0265C">
                              <w:rPr>
                                <w:rFonts w:ascii="Arial Black" w:hAnsi="Arial Black"/>
                                <w:b/>
                                <w:sz w:val="44"/>
                                <w:szCs w:val="40"/>
                              </w:rPr>
                              <w:t>O</w:t>
                            </w:r>
                            <w:r w:rsidRPr="00B0265C">
                              <w:rPr>
                                <w:rFonts w:ascii="Arial Black" w:hAnsi="Arial Black"/>
                                <w:b/>
                                <w:sz w:val="36"/>
                                <w:szCs w:val="40"/>
                              </w:rPr>
                              <w:t xml:space="preserve">RA </w:t>
                            </w:r>
                            <w:r w:rsidRPr="00B0265C">
                              <w:rPr>
                                <w:rFonts w:ascii="Arial Black" w:hAnsi="Arial Black"/>
                                <w:b/>
                                <w:sz w:val="44"/>
                                <w:szCs w:val="40"/>
                              </w:rPr>
                              <w:t>R</w:t>
                            </w:r>
                            <w:r w:rsidRPr="00B0265C">
                              <w:rPr>
                                <w:rFonts w:ascii="Arial Black" w:hAnsi="Arial Black"/>
                                <w:b/>
                                <w:sz w:val="36"/>
                                <w:szCs w:val="40"/>
                              </w:rPr>
                              <w:t>eport</w:t>
                            </w:r>
                            <w:r w:rsidRPr="00B0265C">
                              <w:rPr>
                                <w:rFonts w:ascii="Arial Black" w:hAnsi="Arial Black"/>
                                <w:b/>
                                <w:sz w:val="44"/>
                                <w:szCs w:val="40"/>
                              </w:rPr>
                              <w:t xml:space="preserve"> </w:t>
                            </w:r>
                            <w:r w:rsidRPr="00B0265C">
                              <w:rPr>
                                <w:rFonts w:ascii="Arial Black" w:hAnsi="Arial Black"/>
                                <w:b/>
                                <w:sz w:val="36"/>
                                <w:szCs w:val="40"/>
                              </w:rPr>
                              <w:t xml:space="preserve">to the </w:t>
                            </w:r>
                            <w:r w:rsidRPr="00B0265C">
                              <w:rPr>
                                <w:rFonts w:ascii="Arial Black" w:hAnsi="Arial Black"/>
                                <w:b/>
                                <w:sz w:val="44"/>
                                <w:szCs w:val="40"/>
                              </w:rPr>
                              <w:t>L</w:t>
                            </w:r>
                            <w:r w:rsidRPr="00B0265C">
                              <w:rPr>
                                <w:rFonts w:ascii="Arial Black" w:hAnsi="Arial Black"/>
                                <w:b/>
                                <w:sz w:val="36"/>
                                <w:szCs w:val="40"/>
                              </w:rPr>
                              <w:t>egislature</w:t>
                            </w:r>
                          </w:p>
                        </w:tc>
                      </w:tr>
                      <w:tr w:rsidR="00CE6E80" w:rsidRPr="002F61D8" w:rsidTr="00E01468">
                        <w:trPr>
                          <w:trHeight w:val="1465"/>
                        </w:trPr>
                        <w:tc>
                          <w:tcPr>
                            <w:tcW w:w="8407" w:type="dxa"/>
                            <w:shd w:val="clear" w:color="auto" w:fill="auto"/>
                            <w:vAlign w:val="center"/>
                          </w:tcPr>
                          <w:p w:rsidR="00CE6E80" w:rsidRPr="00160420" w:rsidRDefault="00CE6E80" w:rsidP="00864669">
                            <w:pPr>
                              <w:rPr>
                                <w:rFonts w:ascii="Arial Black" w:hAnsi="Arial Black"/>
                                <w:b/>
                                <w:sz w:val="40"/>
                                <w:szCs w:val="40"/>
                              </w:rPr>
                            </w:pPr>
                            <w:r w:rsidRPr="007922EC">
                              <w:rPr>
                                <w:rFonts w:ascii="Arial Black" w:hAnsi="Arial Black"/>
                                <w:b/>
                                <w:sz w:val="40"/>
                                <w:szCs w:val="40"/>
                              </w:rPr>
                              <w:t>25</w:t>
                            </w:r>
                            <w:r w:rsidRPr="00160420">
                              <w:rPr>
                                <w:rFonts w:ascii="Arial Black" w:hAnsi="Arial Black"/>
                                <w:b/>
                                <w:sz w:val="40"/>
                                <w:szCs w:val="40"/>
                              </w:rPr>
                              <w:t xml:space="preserve">        </w:t>
                            </w:r>
                            <w:r w:rsidRPr="00B0265C">
                              <w:rPr>
                                <w:rFonts w:ascii="Arial Black" w:hAnsi="Arial Black"/>
                                <w:b/>
                                <w:sz w:val="44"/>
                                <w:szCs w:val="40"/>
                              </w:rPr>
                              <w:t>O</w:t>
                            </w:r>
                            <w:r w:rsidRPr="00B0265C">
                              <w:rPr>
                                <w:rFonts w:ascii="Arial Black" w:hAnsi="Arial Black"/>
                                <w:b/>
                                <w:sz w:val="36"/>
                                <w:szCs w:val="40"/>
                              </w:rPr>
                              <w:t>RA</w:t>
                            </w:r>
                            <w:r w:rsidRPr="00B0265C">
                              <w:rPr>
                                <w:rFonts w:ascii="Arial Black" w:hAnsi="Arial Black"/>
                                <w:b/>
                                <w:sz w:val="44"/>
                                <w:szCs w:val="40"/>
                              </w:rPr>
                              <w:t xml:space="preserve"> </w:t>
                            </w:r>
                            <w:r w:rsidRPr="00B0265C">
                              <w:rPr>
                                <w:rFonts w:ascii="Arial Black" w:hAnsi="Arial Black"/>
                                <w:b/>
                                <w:sz w:val="36"/>
                                <w:szCs w:val="40"/>
                              </w:rPr>
                              <w:t>in</w:t>
                            </w:r>
                            <w:r w:rsidRPr="00B0265C">
                              <w:rPr>
                                <w:rFonts w:ascii="Arial Black" w:hAnsi="Arial Black"/>
                                <w:b/>
                                <w:sz w:val="44"/>
                                <w:szCs w:val="40"/>
                              </w:rPr>
                              <w:t xml:space="preserve"> S</w:t>
                            </w:r>
                            <w:r w:rsidRPr="00B0265C">
                              <w:rPr>
                                <w:rFonts w:ascii="Arial Black" w:hAnsi="Arial Black"/>
                                <w:b/>
                                <w:sz w:val="36"/>
                                <w:szCs w:val="40"/>
                              </w:rPr>
                              <w:t>acramento</w:t>
                            </w:r>
                          </w:p>
                        </w:tc>
                      </w:tr>
                    </w:tbl>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Default="00CE6E80">
                      <w:pPr>
                        <w:rPr>
                          <w:rFonts w:ascii="Arial Black" w:hAnsi="Arial Black"/>
                        </w:rPr>
                      </w:pPr>
                    </w:p>
                    <w:p w:rsidR="00CE6E80" w:rsidRPr="002F61D8" w:rsidRDefault="00CE6E80">
                      <w:pPr>
                        <w:rPr>
                          <w:rFonts w:ascii="Arial Black" w:hAnsi="Arial Black"/>
                        </w:rPr>
                      </w:pPr>
                    </w:p>
                  </w:txbxContent>
                </v:textbox>
              </v:shape>
            </w:pict>
          </mc:Fallback>
        </mc:AlternateContent>
      </w:r>
    </w:p>
    <w:p w:rsidR="00793732" w:rsidRPr="00793732" w:rsidRDefault="00793732" w:rsidP="00793732">
      <w:pPr>
        <w:rPr>
          <w:rFonts w:ascii="Arial" w:hAnsi="Arial" w:cs="Arial"/>
          <w:sz w:val="20"/>
          <w:szCs w:val="20"/>
        </w:rPr>
      </w:pPr>
    </w:p>
    <w:p w:rsidR="00793732" w:rsidRPr="00793732" w:rsidRDefault="00793732" w:rsidP="00793732">
      <w:pPr>
        <w:rPr>
          <w:rFonts w:ascii="Arial" w:hAnsi="Arial" w:cs="Arial"/>
          <w:sz w:val="20"/>
          <w:szCs w:val="20"/>
        </w:rPr>
      </w:pPr>
    </w:p>
    <w:p w:rsidR="00793732" w:rsidRPr="00793732" w:rsidRDefault="00793732" w:rsidP="00793732">
      <w:pPr>
        <w:rPr>
          <w:rFonts w:ascii="Arial" w:hAnsi="Arial" w:cs="Arial"/>
          <w:sz w:val="20"/>
          <w:szCs w:val="20"/>
        </w:rPr>
      </w:pPr>
    </w:p>
    <w:p w:rsidR="00793732" w:rsidRPr="00793732" w:rsidRDefault="00793732" w:rsidP="00793732">
      <w:pPr>
        <w:rPr>
          <w:rFonts w:ascii="Arial" w:hAnsi="Arial" w:cs="Arial"/>
          <w:sz w:val="20"/>
          <w:szCs w:val="20"/>
        </w:rPr>
      </w:pPr>
    </w:p>
    <w:p w:rsidR="00793732" w:rsidRPr="00793732" w:rsidRDefault="00793732" w:rsidP="00793732">
      <w:pPr>
        <w:rPr>
          <w:rFonts w:ascii="Arial" w:hAnsi="Arial" w:cs="Arial"/>
          <w:sz w:val="20"/>
          <w:szCs w:val="20"/>
        </w:rPr>
      </w:pPr>
    </w:p>
    <w:p w:rsidR="00793732" w:rsidRPr="00793732" w:rsidRDefault="00793732" w:rsidP="00793732">
      <w:pPr>
        <w:rPr>
          <w:rFonts w:ascii="Arial" w:hAnsi="Arial" w:cs="Arial"/>
          <w:sz w:val="20"/>
          <w:szCs w:val="20"/>
        </w:rPr>
      </w:pPr>
    </w:p>
    <w:p w:rsidR="00793732" w:rsidRPr="00793732" w:rsidRDefault="00793732" w:rsidP="00793732">
      <w:pPr>
        <w:rPr>
          <w:rFonts w:ascii="Arial" w:hAnsi="Arial" w:cs="Arial"/>
          <w:sz w:val="20"/>
          <w:szCs w:val="20"/>
        </w:rPr>
      </w:pPr>
    </w:p>
    <w:p w:rsidR="00793732" w:rsidRPr="00793732" w:rsidRDefault="00793732" w:rsidP="00793732">
      <w:pPr>
        <w:rPr>
          <w:rFonts w:ascii="Arial" w:hAnsi="Arial" w:cs="Arial"/>
          <w:sz w:val="20"/>
          <w:szCs w:val="20"/>
        </w:rPr>
      </w:pPr>
    </w:p>
    <w:p w:rsidR="00793732" w:rsidRPr="00793732" w:rsidRDefault="00793732" w:rsidP="00793732">
      <w:pPr>
        <w:rPr>
          <w:rFonts w:ascii="Arial" w:hAnsi="Arial" w:cs="Arial"/>
          <w:sz w:val="20"/>
          <w:szCs w:val="20"/>
        </w:rPr>
      </w:pPr>
    </w:p>
    <w:p w:rsidR="00793732" w:rsidRPr="00793732" w:rsidRDefault="00793732" w:rsidP="00793732">
      <w:pPr>
        <w:rPr>
          <w:rFonts w:ascii="Arial" w:hAnsi="Arial" w:cs="Arial"/>
          <w:sz w:val="20"/>
          <w:szCs w:val="20"/>
        </w:rPr>
      </w:pPr>
    </w:p>
    <w:p w:rsidR="00793732" w:rsidRPr="00793732" w:rsidRDefault="00793732" w:rsidP="00793732">
      <w:pPr>
        <w:rPr>
          <w:rFonts w:ascii="Arial" w:hAnsi="Arial" w:cs="Arial"/>
          <w:sz w:val="20"/>
          <w:szCs w:val="20"/>
        </w:rPr>
      </w:pPr>
    </w:p>
    <w:p w:rsidR="00793732" w:rsidRPr="00793732" w:rsidRDefault="00793732" w:rsidP="00793732">
      <w:pPr>
        <w:rPr>
          <w:rFonts w:ascii="Arial" w:hAnsi="Arial" w:cs="Arial"/>
          <w:sz w:val="20"/>
          <w:szCs w:val="20"/>
        </w:rPr>
      </w:pPr>
    </w:p>
    <w:p w:rsidR="00793732" w:rsidRPr="00793732" w:rsidRDefault="00793732" w:rsidP="00793732">
      <w:pPr>
        <w:rPr>
          <w:rFonts w:ascii="Arial" w:hAnsi="Arial" w:cs="Arial"/>
          <w:sz w:val="20"/>
          <w:szCs w:val="20"/>
        </w:rPr>
      </w:pPr>
    </w:p>
    <w:p w:rsidR="00793732" w:rsidRPr="00793732" w:rsidRDefault="00793732" w:rsidP="00793732">
      <w:pPr>
        <w:rPr>
          <w:rFonts w:ascii="Arial" w:hAnsi="Arial" w:cs="Arial"/>
          <w:sz w:val="20"/>
          <w:szCs w:val="20"/>
        </w:rPr>
      </w:pPr>
    </w:p>
    <w:p w:rsidR="00793732" w:rsidRPr="00793732" w:rsidRDefault="00793732" w:rsidP="00793732">
      <w:pPr>
        <w:rPr>
          <w:rFonts w:ascii="Arial" w:hAnsi="Arial" w:cs="Arial"/>
          <w:sz w:val="20"/>
          <w:szCs w:val="20"/>
        </w:rPr>
      </w:pPr>
    </w:p>
    <w:p w:rsidR="00793732" w:rsidRPr="00793732" w:rsidRDefault="00793732" w:rsidP="00793732">
      <w:pPr>
        <w:rPr>
          <w:rFonts w:ascii="Arial" w:hAnsi="Arial" w:cs="Arial"/>
          <w:sz w:val="20"/>
          <w:szCs w:val="20"/>
        </w:rPr>
      </w:pPr>
    </w:p>
    <w:p w:rsidR="00793732" w:rsidRPr="00793732" w:rsidRDefault="00793732" w:rsidP="00793732">
      <w:pPr>
        <w:rPr>
          <w:rFonts w:ascii="Arial" w:hAnsi="Arial" w:cs="Arial"/>
          <w:sz w:val="20"/>
          <w:szCs w:val="20"/>
        </w:rPr>
      </w:pPr>
    </w:p>
    <w:p w:rsidR="00793732" w:rsidRPr="00793732" w:rsidRDefault="00793732" w:rsidP="00793732">
      <w:pPr>
        <w:rPr>
          <w:rFonts w:ascii="Arial" w:hAnsi="Arial" w:cs="Arial"/>
          <w:sz w:val="20"/>
          <w:szCs w:val="20"/>
        </w:rPr>
      </w:pPr>
    </w:p>
    <w:p w:rsidR="00793732" w:rsidRPr="00793732" w:rsidRDefault="00793732" w:rsidP="00793732">
      <w:pPr>
        <w:rPr>
          <w:rFonts w:ascii="Arial" w:hAnsi="Arial" w:cs="Arial"/>
          <w:sz w:val="20"/>
          <w:szCs w:val="20"/>
        </w:rPr>
      </w:pPr>
    </w:p>
    <w:p w:rsidR="00793732" w:rsidRPr="00793732" w:rsidRDefault="00793732" w:rsidP="00793732">
      <w:pPr>
        <w:rPr>
          <w:rFonts w:ascii="Arial" w:hAnsi="Arial" w:cs="Arial"/>
          <w:sz w:val="20"/>
          <w:szCs w:val="20"/>
        </w:rPr>
      </w:pPr>
    </w:p>
    <w:p w:rsidR="00793732" w:rsidRPr="00793732" w:rsidRDefault="00793732" w:rsidP="00793732">
      <w:pPr>
        <w:rPr>
          <w:rFonts w:ascii="Arial" w:hAnsi="Arial" w:cs="Arial"/>
          <w:sz w:val="20"/>
          <w:szCs w:val="20"/>
        </w:rPr>
      </w:pPr>
    </w:p>
    <w:p w:rsidR="00793732" w:rsidRPr="00793732" w:rsidRDefault="00793732" w:rsidP="00793732">
      <w:pPr>
        <w:rPr>
          <w:rFonts w:ascii="Arial" w:hAnsi="Arial" w:cs="Arial"/>
          <w:sz w:val="20"/>
          <w:szCs w:val="20"/>
        </w:rPr>
      </w:pPr>
    </w:p>
    <w:p w:rsidR="00793732" w:rsidRPr="00793732" w:rsidRDefault="00793732" w:rsidP="00793732">
      <w:pPr>
        <w:rPr>
          <w:rFonts w:ascii="Arial" w:hAnsi="Arial" w:cs="Arial"/>
          <w:sz w:val="20"/>
          <w:szCs w:val="20"/>
        </w:rPr>
      </w:pPr>
    </w:p>
    <w:p w:rsidR="00793732" w:rsidRDefault="00793732" w:rsidP="00793732">
      <w:pPr>
        <w:rPr>
          <w:rFonts w:ascii="Arial" w:hAnsi="Arial" w:cs="Arial"/>
          <w:sz w:val="20"/>
          <w:szCs w:val="20"/>
        </w:rPr>
      </w:pPr>
    </w:p>
    <w:p w:rsidR="0005541E" w:rsidRDefault="0005541E" w:rsidP="00793732">
      <w:pPr>
        <w:rPr>
          <w:rFonts w:ascii="Arial" w:hAnsi="Arial" w:cs="Arial"/>
          <w:sz w:val="20"/>
          <w:szCs w:val="20"/>
        </w:rPr>
      </w:pPr>
    </w:p>
    <w:p w:rsidR="0005541E" w:rsidRDefault="0005541E" w:rsidP="00793732">
      <w:pPr>
        <w:rPr>
          <w:rFonts w:ascii="Arial" w:hAnsi="Arial" w:cs="Arial"/>
          <w:sz w:val="20"/>
          <w:szCs w:val="20"/>
        </w:rPr>
      </w:pPr>
    </w:p>
    <w:p w:rsidR="0005541E" w:rsidRDefault="0005541E" w:rsidP="00793732">
      <w:pPr>
        <w:rPr>
          <w:rFonts w:ascii="Arial" w:hAnsi="Arial" w:cs="Arial"/>
          <w:sz w:val="20"/>
          <w:szCs w:val="20"/>
        </w:rPr>
      </w:pPr>
    </w:p>
    <w:p w:rsidR="0005541E" w:rsidRDefault="0005541E" w:rsidP="00793732">
      <w:pPr>
        <w:rPr>
          <w:rFonts w:ascii="Arial" w:hAnsi="Arial" w:cs="Arial"/>
          <w:sz w:val="20"/>
          <w:szCs w:val="20"/>
        </w:rPr>
      </w:pPr>
    </w:p>
    <w:p w:rsidR="0005541E" w:rsidRDefault="0005541E" w:rsidP="00793732">
      <w:pPr>
        <w:rPr>
          <w:rFonts w:ascii="Arial" w:hAnsi="Arial" w:cs="Arial"/>
          <w:sz w:val="20"/>
          <w:szCs w:val="20"/>
        </w:rPr>
      </w:pPr>
    </w:p>
    <w:p w:rsidR="0005541E" w:rsidRDefault="0005541E" w:rsidP="00793732">
      <w:pPr>
        <w:rPr>
          <w:rFonts w:ascii="Arial" w:hAnsi="Arial" w:cs="Arial"/>
          <w:sz w:val="20"/>
          <w:szCs w:val="20"/>
        </w:rPr>
      </w:pPr>
    </w:p>
    <w:p w:rsidR="00035DB1" w:rsidRDefault="00035DB1" w:rsidP="00793732">
      <w:pPr>
        <w:rPr>
          <w:rFonts w:ascii="Arial" w:hAnsi="Arial" w:cs="Arial"/>
          <w:sz w:val="20"/>
          <w:szCs w:val="20"/>
        </w:rPr>
      </w:pPr>
      <w:r>
        <w:rPr>
          <w:rFonts w:ascii="Arial" w:hAnsi="Arial" w:cs="Arial"/>
          <w:sz w:val="20"/>
          <w:szCs w:val="20"/>
        </w:rPr>
        <w:br w:type="page"/>
      </w:r>
    </w:p>
    <w:p w:rsidR="00A11DA4" w:rsidRDefault="00A11DA4" w:rsidP="00793732">
      <w:pPr>
        <w:rPr>
          <w:rFonts w:ascii="Arial" w:hAnsi="Arial" w:cs="Arial"/>
          <w:sz w:val="20"/>
          <w:szCs w:val="20"/>
        </w:rPr>
      </w:pPr>
    </w:p>
    <w:p w:rsidR="00647C9D" w:rsidRDefault="00647C9D" w:rsidP="00793732">
      <w:pPr>
        <w:rPr>
          <w:rFonts w:ascii="Arial" w:hAnsi="Arial" w:cs="Arial"/>
          <w:sz w:val="20"/>
          <w:szCs w:val="20"/>
        </w:rPr>
        <w:sectPr w:rsidR="00647C9D" w:rsidSect="003D4D3D">
          <w:pgSz w:w="12240" w:h="15840" w:code="1"/>
          <w:pgMar w:top="1080" w:right="936" w:bottom="1080" w:left="936" w:header="720" w:footer="432" w:gutter="0"/>
          <w:pgNumType w:start="1"/>
          <w:cols w:space="720"/>
          <w:titlePg/>
          <w:docGrid w:linePitch="360"/>
        </w:sectPr>
      </w:pPr>
    </w:p>
    <w:p w:rsidR="00067198" w:rsidRDefault="0048295A">
      <w:pPr>
        <w:rPr>
          <w:rFonts w:ascii="Arial" w:hAnsi="Arial" w:cs="Arial"/>
        </w:rPr>
      </w:pPr>
      <w:r>
        <w:rPr>
          <w:rFonts w:ascii="Century Gothic" w:hAnsi="Century Gothic"/>
          <w:b/>
          <w:noProof/>
          <w:color w:val="1F497D"/>
          <w:sz w:val="96"/>
          <w:szCs w:val="96"/>
        </w:rPr>
        <w:lastRenderedPageBreak/>
        <mc:AlternateContent>
          <mc:Choice Requires="wps">
            <w:drawing>
              <wp:anchor distT="0" distB="457200" distL="114300" distR="114300" simplePos="0" relativeHeight="251646464" behindDoc="0" locked="0" layoutInCell="1" allowOverlap="1" wp14:anchorId="4FC5D6DE" wp14:editId="73D0EF4B">
                <wp:simplePos x="0" y="0"/>
                <wp:positionH relativeFrom="column">
                  <wp:posOffset>-2175510</wp:posOffset>
                </wp:positionH>
                <wp:positionV relativeFrom="paragraph">
                  <wp:posOffset>-2471420</wp:posOffset>
                </wp:positionV>
                <wp:extent cx="5915025" cy="7105650"/>
                <wp:effectExtent l="0" t="0" r="3810" b="4445"/>
                <wp:wrapNone/>
                <wp:docPr id="61" name="AutoShape 5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15025" cy="710565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297" o:spid="_x0000_s1026" type="#_x0000_t32" style="position:absolute;margin-left:-171.3pt;margin-top:-194.6pt;width:465.75pt;height:559.5pt;flip:x y;z-index:251646464;visibility:visible;mso-wrap-style:square;mso-width-percent:0;mso-height-percent:0;mso-wrap-distance-left:9pt;mso-wrap-distance-top:0;mso-wrap-distance-right:9pt;mso-wrap-distance-bottom:36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" stroked="f"/>
            </w:pict>
          </mc:Fallback>
        </mc:AlternateContent>
      </w:r>
      <w:r>
        <w:rPr>
          <w:noProof/>
        </w:rPr>
        <mc:AlternateContent>
          <mc:Choice Requires="wps">
            <w:drawing>
              <wp:anchor distT="0" distB="457200" distL="114300" distR="114300" simplePos="0" relativeHeight="251644416" behindDoc="0" locked="0" layoutInCell="1" allowOverlap="1" wp14:anchorId="3178F89F" wp14:editId="08E6C6A7">
                <wp:simplePos x="0" y="0"/>
                <wp:positionH relativeFrom="column">
                  <wp:posOffset>409575</wp:posOffset>
                </wp:positionH>
                <wp:positionV relativeFrom="paragraph">
                  <wp:posOffset>973455</wp:posOffset>
                </wp:positionV>
                <wp:extent cx="297815" cy="26670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CE6E80" w:rsidRDefault="00CE6E80" w:rsidP="008B7DA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39" type="#_x0000_t202" style="position:absolute;margin-left:32.25pt;margin-top:76.65pt;width:23.45pt;height:21pt;z-index:251644416;visibility:visible;mso-wrap-style:none;mso-width-percent:0;mso-height-percent:0;mso-wrap-distance-left:9pt;mso-wrap-distance-top:0;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" filled="f" stroked="f">
                <v:textbox style="mso-fit-shape-to-text:t">
                  <w:txbxContent>
                    <w:p w:rsidR="00CE6E80" w:rsidRDefault="00CE6E80" w:rsidP="008B7DAB"/>
                  </w:txbxContent>
                </v:textbox>
              </v:shape>
            </w:pict>
          </mc:Fallback>
        </mc:AlternateContent>
      </w:r>
    </w:p>
    <w:p w:rsidR="00067198" w:rsidRDefault="00067198">
      <w:pPr>
        <w:rPr>
          <w:rFonts w:ascii="Arial" w:hAnsi="Arial" w:cs="Arial"/>
        </w:rPr>
      </w:pPr>
    </w:p>
    <w:p w:rsidR="00DD6CB0" w:rsidRDefault="00067198" w:rsidP="00067198">
      <w:pPr>
        <w:rPr>
          <w:rFonts w:ascii="Arial" w:hAnsi="Arial" w:cs="Arial"/>
        </w:rPr>
      </w:pPr>
      <w:r w:rsidRPr="00953AD6">
        <w:rPr>
          <w:rFonts w:ascii="Arial Black" w:hAnsi="Arial Black" w:cs="Aharoni"/>
          <w:b/>
          <w:noProof/>
          <w:color w:val="000000"/>
          <w:sz w:val="84"/>
          <w:szCs w:val="84"/>
        </w:rPr>
        <mc:AlternateContent>
          <mc:Choice Requires="wps">
            <w:drawing>
              <wp:anchor distT="0" distB="0" distL="114300" distR="114300" simplePos="0" relativeHeight="251749888" behindDoc="0" locked="0" layoutInCell="1" allowOverlap="1" wp14:anchorId="185FB4CF" wp14:editId="2AA82F42">
                <wp:simplePos x="0" y="0"/>
                <wp:positionH relativeFrom="column">
                  <wp:posOffset>-31750</wp:posOffset>
                </wp:positionH>
                <wp:positionV relativeFrom="paragraph">
                  <wp:posOffset>2540</wp:posOffset>
                </wp:positionV>
                <wp:extent cx="6324600" cy="807720"/>
                <wp:effectExtent l="0" t="0" r="0" b="0"/>
                <wp:wrapNone/>
                <wp:docPr id="6" name="TextBox 5"/>
                <wp:cNvGraphicFramePr/>
                <a:graphic xmlns:a="http://schemas.openxmlformats.org/drawingml/2006/main">
                  <a:graphicData uri="http://schemas.microsoft.com/office/word/2010/wordprocessingShape">
                    <wps:wsp>
                      <wps:cNvSpPr txBox="1"/>
                      <wps:spPr>
                        <a:xfrm>
                          <a:off x="0" y="0"/>
                          <a:ext cx="6324600" cy="807720"/>
                        </a:xfrm>
                        <a:prstGeom prst="rect">
                          <a:avLst/>
                        </a:prstGeom>
                        <a:noFill/>
                        <a:effectLst>
                          <a:outerShdw blurRad="101600" dist="76200" dir="2700000" algn="tl" rotWithShape="0">
                            <a:prstClr val="black">
                              <a:alpha val="30000"/>
                            </a:prstClr>
                          </a:outerShdw>
                        </a:effectLst>
                      </wps:spPr>
                      <wps:txbx>
                        <w:txbxContent>
                          <w:p w:rsidR="00CE6E80" w:rsidRDefault="00CE6E80" w:rsidP="00953AD6">
                            <w:pPr>
                              <w:pStyle w:val="NormalWeb"/>
                            </w:pPr>
                            <w:r>
                              <w:rPr>
                                <w:rFonts w:ascii="Arial Black" w:hAnsi="Arial Black" w:cstheme="minorBidi"/>
                                <w:color w:val="000000" w:themeColor="text1"/>
                                <w:kern w:val="24"/>
                                <w:sz w:val="80"/>
                                <w:szCs w:val="80"/>
                              </w:rPr>
                              <w:t>O</w:t>
                            </w:r>
                            <w:r>
                              <w:rPr>
                                <w:rFonts w:ascii="Arial Black" w:hAnsi="Arial Black" w:cstheme="minorBidi"/>
                                <w:color w:val="000000" w:themeColor="text1"/>
                                <w:kern w:val="24"/>
                                <w:sz w:val="56"/>
                                <w:szCs w:val="56"/>
                              </w:rPr>
                              <w:t>RA’s</w:t>
                            </w:r>
                            <w:r>
                              <w:rPr>
                                <w:rFonts w:ascii="Arial Black" w:hAnsi="Arial Black" w:cstheme="minorBidi"/>
                                <w:color w:val="000000" w:themeColor="text1"/>
                                <w:kern w:val="24"/>
                                <w:sz w:val="80"/>
                                <w:szCs w:val="80"/>
                              </w:rPr>
                              <w:t xml:space="preserve"> </w:t>
                            </w:r>
                            <w:r>
                              <w:rPr>
                                <w:rFonts w:ascii="Arial Black" w:hAnsi="Arial Black" w:cstheme="minorBidi"/>
                                <w:color w:val="000000" w:themeColor="text1"/>
                                <w:kern w:val="24"/>
                                <w:sz w:val="56"/>
                                <w:szCs w:val="56"/>
                              </w:rPr>
                              <w:t>2015</w:t>
                            </w:r>
                            <w:r>
                              <w:rPr>
                                <w:rFonts w:ascii="Arial Black" w:hAnsi="Arial Black" w:cstheme="minorBidi"/>
                                <w:color w:val="000000" w:themeColor="text1"/>
                                <w:kern w:val="24"/>
                                <w:sz w:val="80"/>
                                <w:szCs w:val="80"/>
                              </w:rPr>
                              <w:t xml:space="preserve"> A</w:t>
                            </w:r>
                            <w:r>
                              <w:rPr>
                                <w:rFonts w:ascii="Arial Black" w:hAnsi="Arial Black" w:cstheme="minorBidi"/>
                                <w:color w:val="000000" w:themeColor="text1"/>
                                <w:kern w:val="24"/>
                                <w:sz w:val="56"/>
                                <w:szCs w:val="56"/>
                              </w:rPr>
                              <w:t xml:space="preserve">dvocacy </w:t>
                            </w:r>
                            <w:r>
                              <w:rPr>
                                <w:rFonts w:ascii="Arial Black" w:hAnsi="Arial Black" w:cstheme="minorBidi"/>
                                <w:color w:val="000000" w:themeColor="text1"/>
                                <w:kern w:val="24"/>
                                <w:sz w:val="80"/>
                                <w:szCs w:val="80"/>
                              </w:rPr>
                              <w:t>W</w:t>
                            </w:r>
                            <w:r>
                              <w:rPr>
                                <w:rFonts w:ascii="Arial Black" w:hAnsi="Arial Black" w:cstheme="minorBidi"/>
                                <w:color w:val="000000" w:themeColor="text1"/>
                                <w:kern w:val="24"/>
                                <w:sz w:val="56"/>
                                <w:szCs w:val="56"/>
                              </w:rPr>
                              <w:t>ork</w:t>
                            </w:r>
                          </w:p>
                        </w:txbxContent>
                      </wps:txbx>
                      <wps:bodyPr wrap="square" rtlCol="0">
                        <a:spAutoFit/>
                      </wps:bodyPr>
                    </wps:wsp>
                  </a:graphicData>
                </a:graphic>
                <wp14:sizeRelV relativeFrom="margin">
                  <wp14:pctHeight>0</wp14:pctHeight>
                </wp14:sizeRelV>
              </wp:anchor>
            </w:drawing>
          </mc:Choice>
          <mc:Fallback>
            <w:pict>
              <v:shape id="TextBox 5" o:spid="_x0000_s1040" type="#_x0000_t202" style="position:absolute;margin-left:-2.5pt;margin-top:.2pt;width:498pt;height:63.6pt;z-index:25174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" filled="f" stroked="f">
                <v:shadow on="t" color="black" opacity="19660f" origin="-.5,-.5" offset="1.49672mm,1.49672mm"/>
                <v:textbox style="mso-fit-shape-to-text:t">
                  <w:txbxContent>
                    <w:p w:rsidR="00CE6E80" w:rsidRDefault="00CE6E80" w:rsidP="00953AD6">
                      <w:pPr>
                        <w:pStyle w:val="NormalWeb"/>
                      </w:pPr>
                      <w:r>
                        <w:rPr>
                          <w:rFonts w:ascii="Arial Black" w:hAnsi="Arial Black" w:cstheme="minorBidi"/>
                          <w:color w:val="000000" w:themeColor="text1"/>
                          <w:kern w:val="24"/>
                          <w:sz w:val="80"/>
                          <w:szCs w:val="80"/>
                        </w:rPr>
                        <w:t>O</w:t>
                      </w:r>
                      <w:r>
                        <w:rPr>
                          <w:rFonts w:ascii="Arial Black" w:hAnsi="Arial Black" w:cstheme="minorBidi"/>
                          <w:color w:val="000000" w:themeColor="text1"/>
                          <w:kern w:val="24"/>
                          <w:sz w:val="56"/>
                          <w:szCs w:val="56"/>
                        </w:rPr>
                        <w:t>RA’s</w:t>
                      </w:r>
                      <w:r>
                        <w:rPr>
                          <w:rFonts w:ascii="Arial Black" w:hAnsi="Arial Black" w:cstheme="minorBidi"/>
                          <w:color w:val="000000" w:themeColor="text1"/>
                          <w:kern w:val="24"/>
                          <w:sz w:val="80"/>
                          <w:szCs w:val="80"/>
                        </w:rPr>
                        <w:t xml:space="preserve"> </w:t>
                      </w:r>
                      <w:r>
                        <w:rPr>
                          <w:rFonts w:ascii="Arial Black" w:hAnsi="Arial Black" w:cstheme="minorBidi"/>
                          <w:color w:val="000000" w:themeColor="text1"/>
                          <w:kern w:val="24"/>
                          <w:sz w:val="56"/>
                          <w:szCs w:val="56"/>
                        </w:rPr>
                        <w:t>2015</w:t>
                      </w:r>
                      <w:r>
                        <w:rPr>
                          <w:rFonts w:ascii="Arial Black" w:hAnsi="Arial Black" w:cstheme="minorBidi"/>
                          <w:color w:val="000000" w:themeColor="text1"/>
                          <w:kern w:val="24"/>
                          <w:sz w:val="80"/>
                          <w:szCs w:val="80"/>
                        </w:rPr>
                        <w:t xml:space="preserve"> A</w:t>
                      </w:r>
                      <w:r>
                        <w:rPr>
                          <w:rFonts w:ascii="Arial Black" w:hAnsi="Arial Black" w:cstheme="minorBidi"/>
                          <w:color w:val="000000" w:themeColor="text1"/>
                          <w:kern w:val="24"/>
                          <w:sz w:val="56"/>
                          <w:szCs w:val="56"/>
                        </w:rPr>
                        <w:t xml:space="preserve">dvocacy </w:t>
                      </w:r>
                      <w:r>
                        <w:rPr>
                          <w:rFonts w:ascii="Arial Black" w:hAnsi="Arial Black" w:cstheme="minorBidi"/>
                          <w:color w:val="000000" w:themeColor="text1"/>
                          <w:kern w:val="24"/>
                          <w:sz w:val="80"/>
                          <w:szCs w:val="80"/>
                        </w:rPr>
                        <w:t>W</w:t>
                      </w:r>
                      <w:r>
                        <w:rPr>
                          <w:rFonts w:ascii="Arial Black" w:hAnsi="Arial Black" w:cstheme="minorBidi"/>
                          <w:color w:val="000000" w:themeColor="text1"/>
                          <w:kern w:val="24"/>
                          <w:sz w:val="56"/>
                          <w:szCs w:val="56"/>
                        </w:rPr>
                        <w:t>ork</w:t>
                      </w:r>
                    </w:p>
                  </w:txbxContent>
                </v:textbox>
              </v:shape>
            </w:pict>
          </mc:Fallback>
        </mc:AlternateContent>
      </w:r>
    </w:p>
    <w:p w:rsidR="00AB36D8" w:rsidRDefault="00AB36D8" w:rsidP="00DD6CB0">
      <w:pPr>
        <w:spacing w:after="120" w:line="288" w:lineRule="auto"/>
        <w:jc w:val="both"/>
        <w:rPr>
          <w:rFonts w:ascii="Arial" w:hAnsi="Arial" w:cs="Arial"/>
        </w:rPr>
      </w:pPr>
    </w:p>
    <w:p w:rsidR="00AB36D8" w:rsidRDefault="00AB36D8" w:rsidP="00DD6CB0">
      <w:pPr>
        <w:spacing w:after="120" w:line="288" w:lineRule="auto"/>
        <w:jc w:val="both"/>
        <w:rPr>
          <w:rFonts w:ascii="Arial" w:hAnsi="Arial" w:cs="Arial"/>
        </w:rPr>
      </w:pPr>
    </w:p>
    <w:p w:rsidR="00AB36D8" w:rsidRDefault="00435F0D" w:rsidP="00DD6CB0">
      <w:pPr>
        <w:spacing w:after="120" w:line="288" w:lineRule="auto"/>
        <w:jc w:val="both"/>
        <w:rPr>
          <w:rFonts w:ascii="Arial" w:hAnsi="Arial" w:cs="Arial"/>
        </w:rPr>
      </w:pPr>
      <w:r>
        <w:rPr>
          <w:rFonts w:ascii="Arial" w:hAnsi="Arial" w:cs="Arial"/>
          <w:noProof/>
        </w:rPr>
        <mc:AlternateContent>
          <mc:Choice Requires="wps">
            <w:drawing>
              <wp:anchor distT="0" distB="0" distL="114300" distR="114300" simplePos="0" relativeHeight="251777536" behindDoc="0" locked="0" layoutInCell="1" allowOverlap="1" wp14:anchorId="1129CA73" wp14:editId="0B485E98">
                <wp:simplePos x="0" y="0"/>
                <wp:positionH relativeFrom="column">
                  <wp:posOffset>120650</wp:posOffset>
                </wp:positionH>
                <wp:positionV relativeFrom="paragraph">
                  <wp:posOffset>76200</wp:posOffset>
                </wp:positionV>
                <wp:extent cx="6623050" cy="1311910"/>
                <wp:effectExtent l="0" t="0" r="0" b="2540"/>
                <wp:wrapNone/>
                <wp:docPr id="22" name="Text Box 22"/>
                <wp:cNvGraphicFramePr/>
                <a:graphic xmlns:a="http://schemas.openxmlformats.org/drawingml/2006/main">
                  <a:graphicData uri="http://schemas.microsoft.com/office/word/2010/wordprocessingShape">
                    <wps:wsp>
                      <wps:cNvSpPr txBox="1"/>
                      <wps:spPr>
                        <a:xfrm>
                          <a:off x="0" y="0"/>
                          <a:ext cx="6623050" cy="1311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80" w:rsidRDefault="00CE6E80">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1" type="#_x0000_t202" style="position:absolute;left:0;text-align:left;margin-left:9.5pt;margin-top:6pt;width:521.5pt;height:103.3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" filled="f" stroked="f" strokeweight=".5pt">
                <v:textbox>
                  <w:txbxContent>
                    <w:p w:rsidR="00CE6E80" w:rsidRDefault="00CE6E80">
                      <w:r>
                        <w:t xml:space="preserve">      </w:t>
                      </w:r>
                    </w:p>
                  </w:txbxContent>
                </v:textbox>
              </v:shape>
            </w:pict>
          </mc:Fallback>
        </mc:AlternateContent>
      </w:r>
      <w:r w:rsidR="004030F8">
        <w:rPr>
          <w:rFonts w:ascii="Arial" w:hAnsi="Arial" w:cs="Arial"/>
          <w:noProof/>
        </w:rPr>
        <mc:AlternateContent>
          <mc:Choice Requires="wps">
            <w:drawing>
              <wp:anchor distT="0" distB="0" distL="114300" distR="114300" simplePos="0" relativeHeight="251778560" behindDoc="0" locked="0" layoutInCell="1" allowOverlap="1" wp14:anchorId="7261A543" wp14:editId="270DF673">
                <wp:simplePos x="0" y="0"/>
                <wp:positionH relativeFrom="column">
                  <wp:posOffset>2172335</wp:posOffset>
                </wp:positionH>
                <wp:positionV relativeFrom="paragraph">
                  <wp:posOffset>60325</wp:posOffset>
                </wp:positionV>
                <wp:extent cx="1327785" cy="1287780"/>
                <wp:effectExtent l="0" t="0" r="0" b="7620"/>
                <wp:wrapNone/>
                <wp:docPr id="5156" name="Text Box 5156"/>
                <wp:cNvGraphicFramePr/>
                <a:graphic xmlns:a="http://schemas.openxmlformats.org/drawingml/2006/main">
                  <a:graphicData uri="http://schemas.microsoft.com/office/word/2010/wordprocessingShape">
                    <wps:wsp>
                      <wps:cNvSpPr txBox="1"/>
                      <wps:spPr>
                        <a:xfrm>
                          <a:off x="0" y="0"/>
                          <a:ext cx="1327785" cy="1287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80" w:rsidRDefault="00CE6E80">
                            <w:r>
                              <w:rPr>
                                <w:noProof/>
                              </w:rPr>
                              <w:drawing>
                                <wp:inline distT="0" distB="0" distL="0" distR="0" wp14:anchorId="5C50DFE0" wp14:editId="25A97A21">
                                  <wp:extent cx="1113721" cy="1160890"/>
                                  <wp:effectExtent l="0" t="0" r="0" b="1270"/>
                                  <wp:docPr id="5170" name="Picture 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waterDrop.png"/>
                                          <pic:cNvPicPr/>
                                        </pic:nvPicPr>
                                        <pic:blipFill>
                                          <a:blip r:embed="rId30">
                                            <a:extLst>
                                              <a:ext uri="{28A0092B-C50C-407E-A947-70E740481C1C}">
                                                <a14:useLocalDpi xmlns:a14="http://schemas.microsoft.com/office/drawing/2010/main" val="0"/>
                                              </a:ext>
                                            </a:extLst>
                                          </a:blip>
                                          <a:stretch>
                                            <a:fillRect/>
                                          </a:stretch>
                                        </pic:blipFill>
                                        <pic:spPr>
                                          <a:xfrm>
                                            <a:off x="0" y="0"/>
                                            <a:ext cx="1116480" cy="11637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56" o:spid="_x0000_s1042" type="#_x0000_t202" style="position:absolute;left:0;text-align:left;margin-left:171.05pt;margin-top:4.75pt;width:104.55pt;height:101.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" filled="f" stroked="f" strokeweight=".5pt">
                <v:textbox>
                  <w:txbxContent>
                    <w:p w:rsidR="00CE6E80" w:rsidRDefault="00CE6E80">
                      <w:r>
                        <w:rPr>
                          <w:noProof/>
                        </w:rPr>
                        <w:drawing>
                          <wp:inline distT="0" distB="0" distL="0" distR="0" wp14:anchorId="5C50DFE0" wp14:editId="25A97A21">
                            <wp:extent cx="1113721" cy="1160890"/>
                            <wp:effectExtent l="0" t="0" r="0" b="1270"/>
                            <wp:docPr id="5170" name="Picture 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waterDrop.png"/>
                                    <pic:cNvPicPr/>
                                  </pic:nvPicPr>
                                  <pic:blipFill>
                                    <a:blip r:embed="rId31">
                                      <a:extLst>
                                        <a:ext uri="{28A0092B-C50C-407E-A947-70E740481C1C}">
                                          <a14:useLocalDpi xmlns:a14="http://schemas.microsoft.com/office/drawing/2010/main" val="0"/>
                                        </a:ext>
                                      </a:extLst>
                                    </a:blip>
                                    <a:stretch>
                                      <a:fillRect/>
                                    </a:stretch>
                                  </pic:blipFill>
                                  <pic:spPr>
                                    <a:xfrm>
                                      <a:off x="0" y="0"/>
                                      <a:ext cx="1116480" cy="1163766"/>
                                    </a:xfrm>
                                    <a:prstGeom prst="rect">
                                      <a:avLst/>
                                    </a:prstGeom>
                                  </pic:spPr>
                                </pic:pic>
                              </a:graphicData>
                            </a:graphic>
                          </wp:inline>
                        </w:drawing>
                      </w:r>
                    </w:p>
                  </w:txbxContent>
                </v:textbox>
              </v:shape>
            </w:pict>
          </mc:Fallback>
        </mc:AlternateContent>
      </w:r>
      <w:r w:rsidR="004030F8">
        <w:rPr>
          <w:rFonts w:ascii="Arial" w:hAnsi="Arial" w:cs="Arial"/>
          <w:noProof/>
        </w:rPr>
        <mc:AlternateContent>
          <mc:Choice Requires="wps">
            <w:drawing>
              <wp:anchor distT="0" distB="0" distL="114300" distR="114300" simplePos="0" relativeHeight="251779584" behindDoc="0" locked="0" layoutInCell="1" allowOverlap="1" wp14:anchorId="5DB45E09" wp14:editId="6B886B50">
                <wp:simplePos x="0" y="0"/>
                <wp:positionH relativeFrom="column">
                  <wp:posOffset>3659505</wp:posOffset>
                </wp:positionH>
                <wp:positionV relativeFrom="paragraph">
                  <wp:posOffset>67945</wp:posOffset>
                </wp:positionV>
                <wp:extent cx="1296035" cy="1279525"/>
                <wp:effectExtent l="0" t="0" r="0" b="0"/>
                <wp:wrapNone/>
                <wp:docPr id="5157" name="Text Box 5157"/>
                <wp:cNvGraphicFramePr/>
                <a:graphic xmlns:a="http://schemas.openxmlformats.org/drawingml/2006/main">
                  <a:graphicData uri="http://schemas.microsoft.com/office/word/2010/wordprocessingShape">
                    <wps:wsp>
                      <wps:cNvSpPr txBox="1"/>
                      <wps:spPr>
                        <a:xfrm>
                          <a:off x="0" y="0"/>
                          <a:ext cx="1296035" cy="1279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80" w:rsidRDefault="00CE6E80">
                            <w:r>
                              <w:rPr>
                                <w:noProof/>
                              </w:rPr>
                              <w:drawing>
                                <wp:inline distT="0" distB="0" distL="0" distR="0" wp14:anchorId="71BF1116" wp14:editId="49FF75AC">
                                  <wp:extent cx="1112355" cy="1159228"/>
                                  <wp:effectExtent l="0" t="0" r="0" b="3175"/>
                                  <wp:docPr id="5171" name="Picture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fiber.png"/>
                                          <pic:cNvPicPr/>
                                        </pic:nvPicPr>
                                        <pic:blipFill>
                                          <a:blip r:embed="rId32">
                                            <a:extLst>
                                              <a:ext uri="{28A0092B-C50C-407E-A947-70E740481C1C}">
                                                <a14:useLocalDpi xmlns:a14="http://schemas.microsoft.com/office/drawing/2010/main" val="0"/>
                                              </a:ext>
                                            </a:extLst>
                                          </a:blip>
                                          <a:stretch>
                                            <a:fillRect/>
                                          </a:stretch>
                                        </pic:blipFill>
                                        <pic:spPr>
                                          <a:xfrm>
                                            <a:off x="0" y="0"/>
                                            <a:ext cx="1114805" cy="11617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57" o:spid="_x0000_s1043" type="#_x0000_t202" style="position:absolute;left:0;text-align:left;margin-left:288.15pt;margin-top:5.35pt;width:102.05pt;height:100.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" filled="f" stroked="f" strokeweight=".5pt">
                <v:textbox>
                  <w:txbxContent>
                    <w:p w:rsidR="00CE6E80" w:rsidRDefault="00CE6E80">
                      <w:r>
                        <w:rPr>
                          <w:noProof/>
                        </w:rPr>
                        <w:drawing>
                          <wp:inline distT="0" distB="0" distL="0" distR="0" wp14:anchorId="71BF1116" wp14:editId="49FF75AC">
                            <wp:extent cx="1112355" cy="1159228"/>
                            <wp:effectExtent l="0" t="0" r="0" b="3175"/>
                            <wp:docPr id="5171" name="Picture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fiber.png"/>
                                    <pic:cNvPicPr/>
                                  </pic:nvPicPr>
                                  <pic:blipFill>
                                    <a:blip r:embed="rId33">
                                      <a:extLst>
                                        <a:ext uri="{28A0092B-C50C-407E-A947-70E740481C1C}">
                                          <a14:useLocalDpi xmlns:a14="http://schemas.microsoft.com/office/drawing/2010/main" val="0"/>
                                        </a:ext>
                                      </a:extLst>
                                    </a:blip>
                                    <a:stretch>
                                      <a:fillRect/>
                                    </a:stretch>
                                  </pic:blipFill>
                                  <pic:spPr>
                                    <a:xfrm>
                                      <a:off x="0" y="0"/>
                                      <a:ext cx="1114805" cy="1161781"/>
                                    </a:xfrm>
                                    <a:prstGeom prst="rect">
                                      <a:avLst/>
                                    </a:prstGeom>
                                  </pic:spPr>
                                </pic:pic>
                              </a:graphicData>
                            </a:graphic>
                          </wp:inline>
                        </w:drawing>
                      </w:r>
                    </w:p>
                  </w:txbxContent>
                </v:textbox>
              </v:shape>
            </w:pict>
          </mc:Fallback>
        </mc:AlternateContent>
      </w:r>
      <w:r w:rsidR="004030F8">
        <w:rPr>
          <w:rFonts w:ascii="Arial" w:hAnsi="Arial" w:cs="Arial"/>
          <w:noProof/>
        </w:rPr>
        <mc:AlternateContent>
          <mc:Choice Requires="wps">
            <w:drawing>
              <wp:anchor distT="0" distB="0" distL="114300" distR="114300" simplePos="0" relativeHeight="251780608" behindDoc="0" locked="0" layoutInCell="1" allowOverlap="1" wp14:anchorId="6B89D96A" wp14:editId="2266B35E">
                <wp:simplePos x="0" y="0"/>
                <wp:positionH relativeFrom="column">
                  <wp:posOffset>5161915</wp:posOffset>
                </wp:positionH>
                <wp:positionV relativeFrom="paragraph">
                  <wp:posOffset>67945</wp:posOffset>
                </wp:positionV>
                <wp:extent cx="1359535" cy="1279525"/>
                <wp:effectExtent l="0" t="0" r="0" b="0"/>
                <wp:wrapNone/>
                <wp:docPr id="5159" name="Text Box 5159"/>
                <wp:cNvGraphicFramePr/>
                <a:graphic xmlns:a="http://schemas.openxmlformats.org/drawingml/2006/main">
                  <a:graphicData uri="http://schemas.microsoft.com/office/word/2010/wordprocessingShape">
                    <wps:wsp>
                      <wps:cNvSpPr txBox="1"/>
                      <wps:spPr>
                        <a:xfrm>
                          <a:off x="0" y="0"/>
                          <a:ext cx="1359535" cy="1279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80" w:rsidRDefault="00CE6E80">
                            <w:r>
                              <w:rPr>
                                <w:noProof/>
                              </w:rPr>
                              <w:drawing>
                                <wp:inline distT="0" distB="0" distL="0" distR="0" wp14:anchorId="68522AE9" wp14:editId="33452E46">
                                  <wp:extent cx="1105669" cy="1152939"/>
                                  <wp:effectExtent l="0" t="0" r="0" b="9525"/>
                                  <wp:docPr id="5172" name="Picture 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flame.png"/>
                                          <pic:cNvPicPr/>
                                        </pic:nvPicPr>
                                        <pic:blipFill>
                                          <a:blip r:embed="rId34">
                                            <a:extLst>
                                              <a:ext uri="{28A0092B-C50C-407E-A947-70E740481C1C}">
                                                <a14:useLocalDpi xmlns:a14="http://schemas.microsoft.com/office/drawing/2010/main" val="0"/>
                                              </a:ext>
                                            </a:extLst>
                                          </a:blip>
                                          <a:stretch>
                                            <a:fillRect/>
                                          </a:stretch>
                                        </pic:blipFill>
                                        <pic:spPr>
                                          <a:xfrm>
                                            <a:off x="0" y="0"/>
                                            <a:ext cx="1105669" cy="11529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59" o:spid="_x0000_s1044" type="#_x0000_t202" style="position:absolute;left:0;text-align:left;margin-left:406.45pt;margin-top:5.35pt;width:107.05pt;height:100.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" filled="f" stroked="f" strokeweight=".5pt">
                <v:textbox>
                  <w:txbxContent>
                    <w:p w:rsidR="00CE6E80" w:rsidRDefault="00CE6E80">
                      <w:r>
                        <w:rPr>
                          <w:noProof/>
                        </w:rPr>
                        <w:drawing>
                          <wp:inline distT="0" distB="0" distL="0" distR="0" wp14:anchorId="68522AE9" wp14:editId="33452E46">
                            <wp:extent cx="1105669" cy="1152939"/>
                            <wp:effectExtent l="0" t="0" r="0" b="9525"/>
                            <wp:docPr id="5172" name="Picture 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flame.png"/>
                                    <pic:cNvPicPr/>
                                  </pic:nvPicPr>
                                  <pic:blipFill>
                                    <a:blip r:embed="rId35">
                                      <a:extLst>
                                        <a:ext uri="{28A0092B-C50C-407E-A947-70E740481C1C}">
                                          <a14:useLocalDpi xmlns:a14="http://schemas.microsoft.com/office/drawing/2010/main" val="0"/>
                                        </a:ext>
                                      </a:extLst>
                                    </a:blip>
                                    <a:stretch>
                                      <a:fillRect/>
                                    </a:stretch>
                                  </pic:blipFill>
                                  <pic:spPr>
                                    <a:xfrm>
                                      <a:off x="0" y="0"/>
                                      <a:ext cx="1105669" cy="1152939"/>
                                    </a:xfrm>
                                    <a:prstGeom prst="rect">
                                      <a:avLst/>
                                    </a:prstGeom>
                                  </pic:spPr>
                                </pic:pic>
                              </a:graphicData>
                            </a:graphic>
                          </wp:inline>
                        </w:drawing>
                      </w:r>
                    </w:p>
                  </w:txbxContent>
                </v:textbox>
              </v:shape>
            </w:pict>
          </mc:Fallback>
        </mc:AlternateContent>
      </w:r>
      <w:r w:rsidR="0019330B">
        <w:rPr>
          <w:rFonts w:ascii="Arial" w:hAnsi="Arial" w:cs="Arial"/>
          <w:noProof/>
        </w:rPr>
        <mc:AlternateContent>
          <mc:Choice Requires="wps">
            <w:drawing>
              <wp:anchor distT="0" distB="0" distL="114300" distR="114300" simplePos="0" relativeHeight="251781632" behindDoc="0" locked="0" layoutInCell="1" allowOverlap="1" wp14:anchorId="58FBDA5D" wp14:editId="50F50AFC">
                <wp:simplePos x="0" y="0"/>
                <wp:positionH relativeFrom="column">
                  <wp:posOffset>685800</wp:posOffset>
                </wp:positionH>
                <wp:positionV relativeFrom="paragraph">
                  <wp:posOffset>99695</wp:posOffset>
                </wp:positionV>
                <wp:extent cx="1485900" cy="1374775"/>
                <wp:effectExtent l="0" t="0" r="0" b="0"/>
                <wp:wrapNone/>
                <wp:docPr id="5161" name="Text Box 5161"/>
                <wp:cNvGraphicFramePr/>
                <a:graphic xmlns:a="http://schemas.openxmlformats.org/drawingml/2006/main">
                  <a:graphicData uri="http://schemas.microsoft.com/office/word/2010/wordprocessingShape">
                    <wps:wsp>
                      <wps:cNvSpPr txBox="1"/>
                      <wps:spPr>
                        <a:xfrm>
                          <a:off x="0" y="0"/>
                          <a:ext cx="1485900" cy="1374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80" w:rsidRDefault="00CE6E80">
                            <w:r>
                              <w:rPr>
                                <w:rFonts w:ascii="Arial" w:hAnsi="Arial" w:cs="Arial"/>
                                <w:noProof/>
                              </w:rPr>
                              <w:drawing>
                                <wp:inline distT="0" distB="0" distL="0" distR="0" wp14:anchorId="000CF00D" wp14:editId="0B61D42E">
                                  <wp:extent cx="1170469" cy="1150830"/>
                                  <wp:effectExtent l="0" t="0" r="0" b="0"/>
                                  <wp:docPr id="5181" name="Picture 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windmill.png"/>
                                          <pic:cNvPicPr/>
                                        </pic:nvPicPr>
                                        <pic:blipFill>
                                          <a:blip r:embed="rId36">
                                            <a:extLst>
                                              <a:ext uri="{28A0092B-C50C-407E-A947-70E740481C1C}">
                                                <a14:useLocalDpi xmlns:a14="http://schemas.microsoft.com/office/drawing/2010/main" val="0"/>
                                              </a:ext>
                                            </a:extLst>
                                          </a:blip>
                                          <a:stretch>
                                            <a:fillRect/>
                                          </a:stretch>
                                        </pic:blipFill>
                                        <pic:spPr>
                                          <a:xfrm>
                                            <a:off x="0" y="0"/>
                                            <a:ext cx="1173982" cy="11542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61" o:spid="_x0000_s1045" type="#_x0000_t202" style="position:absolute;left:0;text-align:left;margin-left:54pt;margin-top:7.85pt;width:117pt;height:108.25pt;z-index:25178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" filled="f" stroked="f" strokeweight=".5pt">
                <v:textbox>
                  <w:txbxContent>
                    <w:p w:rsidR="00CE6E80" w:rsidRDefault="00CE6E80">
                      <w:r>
                        <w:rPr>
                          <w:rFonts w:ascii="Arial" w:hAnsi="Arial" w:cs="Arial"/>
                          <w:noProof/>
                        </w:rPr>
                        <w:drawing>
                          <wp:inline distT="0" distB="0" distL="0" distR="0" wp14:anchorId="000CF00D" wp14:editId="0B61D42E">
                            <wp:extent cx="1170469" cy="1150830"/>
                            <wp:effectExtent l="0" t="0" r="0" b="0"/>
                            <wp:docPr id="5181" name="Picture 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windmill.png"/>
                                    <pic:cNvPicPr/>
                                  </pic:nvPicPr>
                                  <pic:blipFill>
                                    <a:blip r:embed="rId37">
                                      <a:extLst>
                                        <a:ext uri="{28A0092B-C50C-407E-A947-70E740481C1C}">
                                          <a14:useLocalDpi xmlns:a14="http://schemas.microsoft.com/office/drawing/2010/main" val="0"/>
                                        </a:ext>
                                      </a:extLst>
                                    </a:blip>
                                    <a:stretch>
                                      <a:fillRect/>
                                    </a:stretch>
                                  </pic:blipFill>
                                  <pic:spPr>
                                    <a:xfrm>
                                      <a:off x="0" y="0"/>
                                      <a:ext cx="1173982" cy="1154284"/>
                                    </a:xfrm>
                                    <a:prstGeom prst="rect">
                                      <a:avLst/>
                                    </a:prstGeom>
                                  </pic:spPr>
                                </pic:pic>
                              </a:graphicData>
                            </a:graphic>
                          </wp:inline>
                        </w:drawing>
                      </w:r>
                    </w:p>
                  </w:txbxContent>
                </v:textbox>
              </v:shape>
            </w:pict>
          </mc:Fallback>
        </mc:AlternateContent>
      </w:r>
      <w:r w:rsidR="008C6668">
        <w:rPr>
          <w:rFonts w:ascii="Arial" w:hAnsi="Arial" w:cs="Arial"/>
        </w:rPr>
        <w:t xml:space="preserve">      </w:t>
      </w:r>
    </w:p>
    <w:p w:rsidR="00AB36D8" w:rsidRDefault="00AB36D8" w:rsidP="00DD6CB0">
      <w:pPr>
        <w:spacing w:after="120" w:line="288" w:lineRule="auto"/>
        <w:jc w:val="both"/>
        <w:rPr>
          <w:rFonts w:ascii="Arial" w:hAnsi="Arial" w:cs="Arial"/>
        </w:rPr>
      </w:pPr>
    </w:p>
    <w:p w:rsidR="00AB36D8" w:rsidRDefault="00AB36D8" w:rsidP="00DD6CB0">
      <w:pPr>
        <w:spacing w:after="120" w:line="288" w:lineRule="auto"/>
        <w:jc w:val="both"/>
        <w:rPr>
          <w:rFonts w:ascii="Arial" w:hAnsi="Arial" w:cs="Arial"/>
        </w:rPr>
      </w:pPr>
    </w:p>
    <w:p w:rsidR="00AB36D8" w:rsidRDefault="00AB36D8" w:rsidP="00DD6CB0">
      <w:pPr>
        <w:spacing w:after="120" w:line="288" w:lineRule="auto"/>
        <w:jc w:val="both"/>
        <w:rPr>
          <w:rFonts w:ascii="Arial" w:hAnsi="Arial" w:cs="Arial"/>
        </w:rPr>
      </w:pPr>
    </w:p>
    <w:p w:rsidR="00AB36D8" w:rsidRDefault="00B13A1E" w:rsidP="00DD6CB0">
      <w:pPr>
        <w:spacing w:after="120" w:line="288" w:lineRule="auto"/>
        <w:jc w:val="both"/>
        <w:rPr>
          <w:rFonts w:ascii="Arial" w:hAnsi="Arial" w:cs="Arial"/>
        </w:rPr>
      </w:pPr>
      <w:r>
        <w:rPr>
          <w:noProof/>
        </w:rPr>
        <mc:AlternateContent>
          <mc:Choice Requires="wps">
            <w:drawing>
              <wp:anchor distT="0" distB="0" distL="114300" distR="114300" simplePos="0" relativeHeight="251799040" behindDoc="0" locked="0" layoutInCell="1" allowOverlap="1" wp14:anchorId="3D46ADE7" wp14:editId="5B8A3C86">
                <wp:simplePos x="0" y="0"/>
                <wp:positionH relativeFrom="column">
                  <wp:posOffset>191135</wp:posOffset>
                </wp:positionH>
                <wp:positionV relativeFrom="paragraph">
                  <wp:posOffset>255905</wp:posOffset>
                </wp:positionV>
                <wp:extent cx="939800" cy="478790"/>
                <wp:effectExtent l="0" t="0" r="0" b="0"/>
                <wp:wrapNone/>
                <wp:docPr id="5158" name="Text Box 5158"/>
                <wp:cNvGraphicFramePr/>
                <a:graphic xmlns:a="http://schemas.openxmlformats.org/drawingml/2006/main">
                  <a:graphicData uri="http://schemas.microsoft.com/office/word/2010/wordprocessingShape">
                    <wps:wsp>
                      <wps:cNvSpPr txBox="1"/>
                      <wps:spPr>
                        <a:xfrm>
                          <a:off x="0" y="0"/>
                          <a:ext cx="939800" cy="478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3A1E" w:rsidRPr="00B13A1E" w:rsidRDefault="00B13A1E" w:rsidP="00B13A1E">
                            <w:pPr>
                              <w:jc w:val="center"/>
                              <w:rPr>
                                <w:rFonts w:ascii="Arial Black" w:hAnsi="Arial Black"/>
                                <w:color w:val="4F81BD" w:themeColor="accent1"/>
                                <w:sz w:val="52"/>
                              </w:rPr>
                            </w:pPr>
                            <w:r w:rsidRPr="00B13A1E">
                              <w:rPr>
                                <w:rFonts w:ascii="Arial Black" w:hAnsi="Arial Black" w:cs="Arial"/>
                                <w:b/>
                                <w:color w:val="4F81BD" w:themeColor="accent1"/>
                                <w:sz w:val="44"/>
                                <w:szCs w:val="22"/>
                              </w:rPr>
                              <w:t>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58" o:spid="_x0000_s1046" type="#_x0000_t202" style="position:absolute;left:0;text-align:left;margin-left:15.05pt;margin-top:20.15pt;width:74pt;height:37.7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" filled="f" stroked="f" strokeweight=".5pt">
                <v:textbox>
                  <w:txbxContent>
                    <w:p w:rsidR="00B13A1E" w:rsidRPr="00B13A1E" w:rsidRDefault="00B13A1E" w:rsidP="00B13A1E">
                      <w:pPr>
                        <w:jc w:val="center"/>
                        <w:rPr>
                          <w:rFonts w:ascii="Arial Black" w:hAnsi="Arial Black"/>
                          <w:color w:val="4F81BD" w:themeColor="accent1"/>
                          <w:sz w:val="52"/>
                        </w:rPr>
                      </w:pPr>
                      <w:r w:rsidRPr="00B13A1E">
                        <w:rPr>
                          <w:rFonts w:ascii="Arial Black" w:hAnsi="Arial Black" w:cs="Arial"/>
                          <w:b/>
                          <w:color w:val="4F81BD" w:themeColor="accent1"/>
                          <w:sz w:val="44"/>
                          <w:szCs w:val="22"/>
                        </w:rPr>
                        <w:t>ORA</w:t>
                      </w:r>
                    </w:p>
                  </w:txbxContent>
                </v:textbox>
              </v:shape>
            </w:pict>
          </mc:Fallback>
        </mc:AlternateContent>
      </w:r>
      <w:r w:rsidR="002D65B0">
        <w:rPr>
          <w:noProof/>
        </w:rPr>
        <mc:AlternateContent>
          <mc:Choice Requires="wps">
            <w:drawing>
              <wp:anchor distT="0" distB="0" distL="114300" distR="114300" simplePos="0" relativeHeight="251728384" behindDoc="0" locked="0" layoutInCell="1" allowOverlap="1" wp14:anchorId="63B34048" wp14:editId="6EB60915">
                <wp:simplePos x="0" y="0"/>
                <wp:positionH relativeFrom="column">
                  <wp:posOffset>231140</wp:posOffset>
                </wp:positionH>
                <wp:positionV relativeFrom="paragraph">
                  <wp:posOffset>193675</wp:posOffset>
                </wp:positionV>
                <wp:extent cx="6408420" cy="41719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408420" cy="417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E61" w:rsidRDefault="00BE0E61" w:rsidP="00AB36D8">
                            <w:pPr>
                              <w:pStyle w:val="BasicParagraph"/>
                              <w:spacing w:after="120"/>
                              <w:jc w:val="both"/>
                              <w:rPr>
                                <w:rFonts w:ascii="Arial" w:hAnsi="Arial" w:cs="Arial"/>
                                <w:sz w:val="20"/>
                                <w:szCs w:val="22"/>
                              </w:rPr>
                            </w:pPr>
                          </w:p>
                          <w:p w:rsidR="00CE6E80" w:rsidRPr="00CD73F6" w:rsidRDefault="00BE0E61" w:rsidP="00AB36D8">
                            <w:pPr>
                              <w:pStyle w:val="BasicParagraph"/>
                              <w:spacing w:after="120"/>
                              <w:jc w:val="both"/>
                              <w:rPr>
                                <w:rFonts w:ascii="Arial" w:hAnsi="Arial" w:cs="Arial"/>
                                <w:sz w:val="20"/>
                                <w:szCs w:val="22"/>
                              </w:rPr>
                            </w:pPr>
                            <w:r>
                              <w:rPr>
                                <w:rFonts w:ascii="Arial" w:hAnsi="Arial" w:cs="Arial"/>
                                <w:sz w:val="20"/>
                                <w:szCs w:val="22"/>
                              </w:rPr>
                              <w:t xml:space="preserve">             </w:t>
                            </w:r>
                            <w:r w:rsidR="00B13A1E">
                              <w:rPr>
                                <w:rFonts w:ascii="Arial" w:hAnsi="Arial" w:cs="Arial"/>
                                <w:sz w:val="20"/>
                                <w:szCs w:val="22"/>
                              </w:rPr>
                              <w:t xml:space="preserve">        </w:t>
                            </w:r>
                            <w:r w:rsidR="00AE09DE">
                              <w:rPr>
                                <w:rFonts w:ascii="Arial" w:hAnsi="Arial" w:cs="Arial"/>
                                <w:sz w:val="20"/>
                                <w:szCs w:val="22"/>
                              </w:rPr>
                              <w:t>-</w:t>
                            </w:r>
                            <w:r w:rsidR="00B13A1E">
                              <w:rPr>
                                <w:rFonts w:ascii="Arial" w:hAnsi="Arial" w:cs="Arial"/>
                                <w:sz w:val="20"/>
                                <w:szCs w:val="22"/>
                              </w:rPr>
                              <w:t xml:space="preserve"> </w:t>
                            </w:r>
                            <w:r w:rsidR="00CE6E80" w:rsidRPr="00CD73F6">
                              <w:rPr>
                                <w:rFonts w:ascii="Arial" w:hAnsi="Arial" w:cs="Arial"/>
                                <w:sz w:val="20"/>
                                <w:szCs w:val="22"/>
                              </w:rPr>
                              <w:t xml:space="preserve">The Office of Ratepayer Advocates </w:t>
                            </w:r>
                            <w:r w:rsidR="00AE09DE">
                              <w:rPr>
                                <w:rFonts w:ascii="Arial" w:hAnsi="Arial" w:cs="Arial"/>
                                <w:sz w:val="20"/>
                                <w:szCs w:val="22"/>
                              </w:rPr>
                              <w:t xml:space="preserve">- </w:t>
                            </w:r>
                            <w:r w:rsidR="00CE6E80" w:rsidRPr="00CD73F6">
                              <w:rPr>
                                <w:rFonts w:ascii="Arial" w:hAnsi="Arial" w:cs="Arial"/>
                                <w:sz w:val="20"/>
                                <w:szCs w:val="22"/>
                              </w:rPr>
                              <w:t xml:space="preserve">is the independent consumer advocate within the California Public Utilities Commission (CPUC) that advocates solely on behalf of investor owned utility </w:t>
                            </w:r>
                            <w:r w:rsidR="00CE6E80">
                              <w:rPr>
                                <w:rFonts w:ascii="Arial" w:hAnsi="Arial" w:cs="Arial"/>
                                <w:sz w:val="20"/>
                                <w:szCs w:val="22"/>
                              </w:rPr>
                              <w:t>customers (</w:t>
                            </w:r>
                            <w:r w:rsidR="00CE6E80" w:rsidRPr="00CE6E80">
                              <w:rPr>
                                <w:rFonts w:ascii="Arial" w:hAnsi="Arial" w:cs="Arial"/>
                                <w:sz w:val="20"/>
                                <w:szCs w:val="22"/>
                              </w:rPr>
                              <w:t>aka</w:t>
                            </w:r>
                            <w:r w:rsidR="00CE6E80">
                              <w:rPr>
                                <w:rFonts w:ascii="Arial" w:hAnsi="Arial" w:cs="Arial"/>
                                <w:sz w:val="20"/>
                                <w:szCs w:val="22"/>
                              </w:rPr>
                              <w:t xml:space="preserve"> </w:t>
                            </w:r>
                            <w:r w:rsidR="00CE6E80" w:rsidRPr="00CD73F6">
                              <w:rPr>
                                <w:rFonts w:ascii="Arial" w:hAnsi="Arial" w:cs="Arial"/>
                                <w:sz w:val="20"/>
                                <w:szCs w:val="22"/>
                              </w:rPr>
                              <w:t>ratepayers</w:t>
                            </w:r>
                            <w:r w:rsidR="00CE6E80">
                              <w:rPr>
                                <w:rFonts w:ascii="Arial" w:hAnsi="Arial" w:cs="Arial"/>
                                <w:sz w:val="20"/>
                                <w:szCs w:val="22"/>
                              </w:rPr>
                              <w:t>)</w:t>
                            </w:r>
                            <w:r w:rsidR="00CE6E80" w:rsidRPr="00CD73F6">
                              <w:rPr>
                                <w:rFonts w:ascii="Arial" w:hAnsi="Arial" w:cs="Arial"/>
                                <w:sz w:val="20"/>
                                <w:szCs w:val="22"/>
                              </w:rPr>
                              <w:t>. As the only state entity charged with this responsibility, ORA plays a critical role in ensuring that the customers of Cali</w:t>
                            </w:r>
                            <w:r w:rsidR="0032682F">
                              <w:rPr>
                                <w:rFonts w:ascii="Arial" w:hAnsi="Arial" w:cs="Arial"/>
                                <w:sz w:val="20"/>
                                <w:szCs w:val="22"/>
                              </w:rPr>
                              <w:t xml:space="preserve">fornia’s energy, water, and </w:t>
                            </w:r>
                            <w:r w:rsidR="00CE6E80" w:rsidRPr="00CD73F6">
                              <w:rPr>
                                <w:rFonts w:ascii="Arial" w:hAnsi="Arial" w:cs="Arial"/>
                                <w:sz w:val="20"/>
                                <w:szCs w:val="22"/>
                              </w:rPr>
                              <w:t xml:space="preserve">communications utilities are represented at the CPUC and in other forums that affect customers’ utility bills, environmental benefits, and </w:t>
                            </w:r>
                            <w:r w:rsidR="00CE6E80">
                              <w:rPr>
                                <w:rFonts w:ascii="Arial" w:hAnsi="Arial" w:cs="Arial"/>
                                <w:sz w:val="20"/>
                                <w:szCs w:val="22"/>
                              </w:rPr>
                              <w:t xml:space="preserve">the </w:t>
                            </w:r>
                            <w:r w:rsidR="00CE6E80" w:rsidRPr="00CD73F6">
                              <w:rPr>
                                <w:rFonts w:ascii="Arial" w:hAnsi="Arial" w:cs="Arial"/>
                                <w:sz w:val="20"/>
                                <w:szCs w:val="22"/>
                              </w:rPr>
                              <w:t>reliability and safety of those services.</w:t>
                            </w:r>
                          </w:p>
                          <w:p w:rsidR="00CE6E80" w:rsidRPr="00CD73F6" w:rsidRDefault="00CE6E80" w:rsidP="00AB36D8">
                            <w:pPr>
                              <w:pStyle w:val="BasicParagraph"/>
                              <w:spacing w:after="120"/>
                              <w:jc w:val="both"/>
                              <w:rPr>
                                <w:rFonts w:ascii="Arial" w:hAnsi="Arial" w:cs="Arial"/>
                                <w:sz w:val="20"/>
                                <w:szCs w:val="22"/>
                              </w:rPr>
                            </w:pPr>
                            <w:r w:rsidRPr="00CD73F6">
                              <w:rPr>
                                <w:rFonts w:ascii="Arial" w:hAnsi="Arial" w:cs="Arial"/>
                                <w:sz w:val="20"/>
                                <w:szCs w:val="22"/>
                              </w:rPr>
                              <w:t xml:space="preserve">ORA has a staff of </w:t>
                            </w:r>
                            <w:r w:rsidRPr="008B553C">
                              <w:rPr>
                                <w:rFonts w:ascii="Arial" w:hAnsi="Arial" w:cs="Arial"/>
                                <w:sz w:val="20"/>
                                <w:szCs w:val="22"/>
                              </w:rPr>
                              <w:t>147</w:t>
                            </w:r>
                            <w:r w:rsidRPr="00CD73F6">
                              <w:rPr>
                                <w:rFonts w:ascii="Arial" w:hAnsi="Arial" w:cs="Arial"/>
                                <w:sz w:val="20"/>
                                <w:szCs w:val="22"/>
                              </w:rPr>
                              <w:t xml:space="preserve"> professionals consisting of engineers, economists, scientists, and auditors with expertise in regulatory issues related to the electrici</w:t>
                            </w:r>
                            <w:r w:rsidR="0032682F">
                              <w:rPr>
                                <w:rFonts w:ascii="Arial" w:hAnsi="Arial" w:cs="Arial"/>
                                <w:sz w:val="20"/>
                                <w:szCs w:val="22"/>
                              </w:rPr>
                              <w:t xml:space="preserve">ty, natural gas, water, and </w:t>
                            </w:r>
                            <w:r w:rsidRPr="00CD73F6">
                              <w:rPr>
                                <w:rFonts w:ascii="Arial" w:hAnsi="Arial" w:cs="Arial"/>
                                <w:sz w:val="20"/>
                                <w:szCs w:val="22"/>
                              </w:rPr>
                              <w:t>communications industries in California. ORA’s staff performs in-depth review and analyses of regulatory policy issues and utility proposals, for funding that totals in the tens of billions of dollars, in order to determine whether utility requests are in the interest of the ratepayers who fund utility activities through their utility bills. ORA also supports environmental policies that benefit customers and seeks to ensure that utility actions comport with CPUC rules and California environmental laws and policy goals.</w:t>
                            </w:r>
                          </w:p>
                          <w:p w:rsidR="00CE6E80" w:rsidRPr="00CD73F6" w:rsidRDefault="00CE6E80" w:rsidP="00AB36D8">
                            <w:pPr>
                              <w:spacing w:after="120" w:line="288" w:lineRule="auto"/>
                              <w:jc w:val="both"/>
                              <w:rPr>
                                <w:sz w:val="20"/>
                                <w:szCs w:val="22"/>
                              </w:rPr>
                            </w:pPr>
                            <w:r w:rsidRPr="00CD73F6">
                              <w:rPr>
                                <w:rFonts w:ascii="Arial" w:hAnsi="Arial" w:cs="Arial"/>
                                <w:sz w:val="20"/>
                                <w:szCs w:val="22"/>
                              </w:rPr>
                              <w:t xml:space="preserve">In 2015, ORA participated in </w:t>
                            </w:r>
                            <w:r>
                              <w:rPr>
                                <w:rFonts w:ascii="Arial" w:hAnsi="Arial" w:cs="Arial"/>
                                <w:sz w:val="20"/>
                                <w:szCs w:val="22"/>
                              </w:rPr>
                              <w:t>192</w:t>
                            </w:r>
                            <w:r w:rsidRPr="00CD73F6">
                              <w:rPr>
                                <w:rFonts w:ascii="Arial" w:hAnsi="Arial" w:cs="Arial"/>
                                <w:sz w:val="20"/>
                                <w:szCs w:val="22"/>
                              </w:rPr>
                              <w:t xml:space="preserve"> CPUC proceedings and filed approximately </w:t>
                            </w:r>
                            <w:r>
                              <w:rPr>
                                <w:rFonts w:ascii="Arial" w:hAnsi="Arial" w:cs="Arial"/>
                                <w:sz w:val="20"/>
                                <w:szCs w:val="22"/>
                              </w:rPr>
                              <w:t>605</w:t>
                            </w:r>
                            <w:r w:rsidRPr="00CD73F6">
                              <w:rPr>
                                <w:rFonts w:ascii="Arial" w:hAnsi="Arial" w:cs="Arial"/>
                                <w:sz w:val="20"/>
                                <w:szCs w:val="22"/>
                              </w:rPr>
                              <w:t xml:space="preserve"> pleadings to aid the CPUC in de</w:t>
                            </w:r>
                            <w:r>
                              <w:rPr>
                                <w:rFonts w:ascii="Arial" w:hAnsi="Arial" w:cs="Arial"/>
                                <w:sz w:val="20"/>
                                <w:szCs w:val="22"/>
                              </w:rPr>
                              <w:t>veloping the record from which commissioner</w:t>
                            </w:r>
                            <w:r w:rsidRPr="00CD73F6">
                              <w:rPr>
                                <w:rFonts w:ascii="Arial" w:hAnsi="Arial" w:cs="Arial"/>
                                <w:sz w:val="20"/>
                                <w:szCs w:val="22"/>
                              </w:rPr>
                              <w:t xml:space="preserve">s formulate their final decisions. ORA met with decision-makers on behalf of ratepayers </w:t>
                            </w:r>
                            <w:r>
                              <w:rPr>
                                <w:rFonts w:ascii="Arial" w:hAnsi="Arial" w:cs="Arial"/>
                                <w:sz w:val="20"/>
                                <w:szCs w:val="22"/>
                              </w:rPr>
                              <w:t>112</w:t>
                            </w:r>
                            <w:r w:rsidRPr="00CD73F6">
                              <w:rPr>
                                <w:rFonts w:ascii="Arial" w:hAnsi="Arial" w:cs="Arial"/>
                                <w:sz w:val="20"/>
                                <w:szCs w:val="22"/>
                              </w:rPr>
                              <w:t xml:space="preserve"> times in 2015 to ensure that the consumer perspective was heard. </w:t>
                            </w:r>
                            <w:r w:rsidRPr="00F119A0">
                              <w:rPr>
                                <w:rFonts w:ascii="Arial" w:hAnsi="Arial" w:cs="Arial"/>
                                <w:sz w:val="20"/>
                                <w:szCs w:val="22"/>
                              </w:rPr>
                              <w:t xml:space="preserve">ORA’s </w:t>
                            </w:r>
                            <w:r w:rsidR="00040DD5">
                              <w:rPr>
                                <w:rFonts w:ascii="Arial" w:hAnsi="Arial" w:cs="Arial"/>
                                <w:sz w:val="20"/>
                                <w:szCs w:val="22"/>
                              </w:rPr>
                              <w:t>$27</w:t>
                            </w:r>
                            <w:r w:rsidRPr="00F119A0">
                              <w:rPr>
                                <w:rFonts w:ascii="Arial" w:hAnsi="Arial" w:cs="Arial"/>
                                <w:sz w:val="20"/>
                                <w:szCs w:val="22"/>
                              </w:rPr>
                              <w:t>,</w:t>
                            </w:r>
                            <w:r w:rsidR="00C63F90">
                              <w:rPr>
                                <w:rFonts w:ascii="Arial" w:hAnsi="Arial" w:cs="Arial"/>
                                <w:sz w:val="20"/>
                                <w:szCs w:val="22"/>
                              </w:rPr>
                              <w:t>745</w:t>
                            </w:r>
                            <w:r w:rsidRPr="00F119A0">
                              <w:rPr>
                                <w:rFonts w:ascii="Arial" w:hAnsi="Arial" w:cs="Arial"/>
                                <w:sz w:val="20"/>
                                <w:szCs w:val="22"/>
                              </w:rPr>
                              <w:t>,000</w:t>
                            </w:r>
                            <w:r w:rsidRPr="00CD73F6">
                              <w:rPr>
                                <w:rFonts w:ascii="Arial" w:hAnsi="Arial" w:cs="Arial"/>
                                <w:sz w:val="20"/>
                                <w:szCs w:val="22"/>
                              </w:rPr>
                              <w:t xml:space="preserve"> budget represents a small fraction of ratepayers’ investment as compared to the </w:t>
                            </w:r>
                            <w:r w:rsidRPr="008B553C">
                              <w:rPr>
                                <w:rFonts w:ascii="Arial" w:hAnsi="Arial" w:cs="Arial"/>
                                <w:sz w:val="20"/>
                                <w:szCs w:val="22"/>
                              </w:rPr>
                              <w:t>$5.3 billion</w:t>
                            </w:r>
                            <w:r w:rsidRPr="00CD73F6">
                              <w:rPr>
                                <w:rFonts w:ascii="Arial" w:hAnsi="Arial" w:cs="Arial"/>
                                <w:sz w:val="20"/>
                                <w:szCs w:val="22"/>
                              </w:rPr>
                              <w:t xml:space="preserve"> in savings that ORA helped to achieve on behalf of ratepayers in 2015. This savings was realized in the form of lower utility revenues and avoided rate increases. For every dollar customers spent on ORA in 2015, they saved approximately </w:t>
                            </w:r>
                            <w:r w:rsidRPr="00F119A0">
                              <w:rPr>
                                <w:rFonts w:ascii="Arial" w:hAnsi="Arial" w:cs="Arial"/>
                                <w:sz w:val="20"/>
                                <w:szCs w:val="22"/>
                              </w:rPr>
                              <w:t>$1</w:t>
                            </w:r>
                            <w:r w:rsidR="00040DD5">
                              <w:rPr>
                                <w:rFonts w:ascii="Arial" w:hAnsi="Arial" w:cs="Arial"/>
                                <w:sz w:val="20"/>
                                <w:szCs w:val="22"/>
                              </w:rPr>
                              <w:t>91</w:t>
                            </w:r>
                            <w:r w:rsidRPr="00CD73F6">
                              <w:rPr>
                                <w:rFonts w:ascii="Arial" w:hAnsi="Arial" w:cs="Arial"/>
                                <w:sz w:val="20"/>
                                <w:szCs w:val="22"/>
                              </w:rPr>
                              <w:t xml:space="preserve"> across their utility bills. Additionally, ORA influenced the outcome of numerous CPUC policies, decisions, and California legislation that will positively impact ratepayers.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7" type="#_x0000_t202" style="position:absolute;left:0;text-align:left;margin-left:18.2pt;margin-top:15.25pt;width:504.6pt;height:328.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" filled="f" stroked="f" strokeweight=".5pt">
                <v:textbox>
                  <w:txbxContent>
                    <w:p w:rsidR="00BE0E61" w:rsidRDefault="00BE0E61" w:rsidP="00AB36D8">
                      <w:pPr>
                        <w:pStyle w:val="BasicParagraph"/>
                        <w:spacing w:after="120"/>
                        <w:jc w:val="both"/>
                        <w:rPr>
                          <w:rFonts w:ascii="Arial" w:hAnsi="Arial" w:cs="Arial"/>
                          <w:sz w:val="20"/>
                          <w:szCs w:val="22"/>
                        </w:rPr>
                      </w:pPr>
                    </w:p>
                    <w:p w:rsidR="00CE6E80" w:rsidRPr="00CD73F6" w:rsidRDefault="00BE0E61" w:rsidP="00AB36D8">
                      <w:pPr>
                        <w:pStyle w:val="BasicParagraph"/>
                        <w:spacing w:after="120"/>
                        <w:jc w:val="both"/>
                        <w:rPr>
                          <w:rFonts w:ascii="Arial" w:hAnsi="Arial" w:cs="Arial"/>
                          <w:sz w:val="20"/>
                          <w:szCs w:val="22"/>
                        </w:rPr>
                      </w:pPr>
                      <w:r>
                        <w:rPr>
                          <w:rFonts w:ascii="Arial" w:hAnsi="Arial" w:cs="Arial"/>
                          <w:sz w:val="20"/>
                          <w:szCs w:val="22"/>
                        </w:rPr>
                        <w:t xml:space="preserve">             </w:t>
                      </w:r>
                      <w:r w:rsidR="00B13A1E">
                        <w:rPr>
                          <w:rFonts w:ascii="Arial" w:hAnsi="Arial" w:cs="Arial"/>
                          <w:sz w:val="20"/>
                          <w:szCs w:val="22"/>
                        </w:rPr>
                        <w:t xml:space="preserve">        </w:t>
                      </w:r>
                      <w:r w:rsidR="00AE09DE">
                        <w:rPr>
                          <w:rFonts w:ascii="Arial" w:hAnsi="Arial" w:cs="Arial"/>
                          <w:sz w:val="20"/>
                          <w:szCs w:val="22"/>
                        </w:rPr>
                        <w:t>-</w:t>
                      </w:r>
                      <w:r w:rsidR="00B13A1E">
                        <w:rPr>
                          <w:rFonts w:ascii="Arial" w:hAnsi="Arial" w:cs="Arial"/>
                          <w:sz w:val="20"/>
                          <w:szCs w:val="22"/>
                        </w:rPr>
                        <w:t xml:space="preserve"> </w:t>
                      </w:r>
                      <w:r w:rsidR="00CE6E80" w:rsidRPr="00CD73F6">
                        <w:rPr>
                          <w:rFonts w:ascii="Arial" w:hAnsi="Arial" w:cs="Arial"/>
                          <w:sz w:val="20"/>
                          <w:szCs w:val="22"/>
                        </w:rPr>
                        <w:t xml:space="preserve">The Office of Ratepayer Advocates </w:t>
                      </w:r>
                      <w:r w:rsidR="00AE09DE">
                        <w:rPr>
                          <w:rFonts w:ascii="Arial" w:hAnsi="Arial" w:cs="Arial"/>
                          <w:sz w:val="20"/>
                          <w:szCs w:val="22"/>
                        </w:rPr>
                        <w:t xml:space="preserve">- </w:t>
                      </w:r>
                      <w:r w:rsidR="00CE6E80" w:rsidRPr="00CD73F6">
                        <w:rPr>
                          <w:rFonts w:ascii="Arial" w:hAnsi="Arial" w:cs="Arial"/>
                          <w:sz w:val="20"/>
                          <w:szCs w:val="22"/>
                        </w:rPr>
                        <w:t xml:space="preserve">is the independent consumer advocate within the California Public Utilities Commission (CPUC) that advocates solely on behalf of investor owned utility </w:t>
                      </w:r>
                      <w:r w:rsidR="00CE6E80">
                        <w:rPr>
                          <w:rFonts w:ascii="Arial" w:hAnsi="Arial" w:cs="Arial"/>
                          <w:sz w:val="20"/>
                          <w:szCs w:val="22"/>
                        </w:rPr>
                        <w:t>customers (</w:t>
                      </w:r>
                      <w:r w:rsidR="00CE6E80" w:rsidRPr="00CE6E80">
                        <w:rPr>
                          <w:rFonts w:ascii="Arial" w:hAnsi="Arial" w:cs="Arial"/>
                          <w:sz w:val="20"/>
                          <w:szCs w:val="22"/>
                        </w:rPr>
                        <w:t>aka</w:t>
                      </w:r>
                      <w:r w:rsidR="00CE6E80">
                        <w:rPr>
                          <w:rFonts w:ascii="Arial" w:hAnsi="Arial" w:cs="Arial"/>
                          <w:sz w:val="20"/>
                          <w:szCs w:val="22"/>
                        </w:rPr>
                        <w:t xml:space="preserve"> </w:t>
                      </w:r>
                      <w:r w:rsidR="00CE6E80" w:rsidRPr="00CD73F6">
                        <w:rPr>
                          <w:rFonts w:ascii="Arial" w:hAnsi="Arial" w:cs="Arial"/>
                          <w:sz w:val="20"/>
                          <w:szCs w:val="22"/>
                        </w:rPr>
                        <w:t>ratepayers</w:t>
                      </w:r>
                      <w:r w:rsidR="00CE6E80">
                        <w:rPr>
                          <w:rFonts w:ascii="Arial" w:hAnsi="Arial" w:cs="Arial"/>
                          <w:sz w:val="20"/>
                          <w:szCs w:val="22"/>
                        </w:rPr>
                        <w:t>)</w:t>
                      </w:r>
                      <w:r w:rsidR="00CE6E80" w:rsidRPr="00CD73F6">
                        <w:rPr>
                          <w:rFonts w:ascii="Arial" w:hAnsi="Arial" w:cs="Arial"/>
                          <w:sz w:val="20"/>
                          <w:szCs w:val="22"/>
                        </w:rPr>
                        <w:t>. As the only state entity charged with this responsibility, ORA plays a critical role in ensuring that the customers of Cali</w:t>
                      </w:r>
                      <w:r w:rsidR="0032682F">
                        <w:rPr>
                          <w:rFonts w:ascii="Arial" w:hAnsi="Arial" w:cs="Arial"/>
                          <w:sz w:val="20"/>
                          <w:szCs w:val="22"/>
                        </w:rPr>
                        <w:t xml:space="preserve">fornia’s energy, water, and </w:t>
                      </w:r>
                      <w:r w:rsidR="00CE6E80" w:rsidRPr="00CD73F6">
                        <w:rPr>
                          <w:rFonts w:ascii="Arial" w:hAnsi="Arial" w:cs="Arial"/>
                          <w:sz w:val="20"/>
                          <w:szCs w:val="22"/>
                        </w:rPr>
                        <w:t xml:space="preserve">communications utilities are represented at the CPUC and in other forums that affect customers’ utility bills, environmental benefits, and </w:t>
                      </w:r>
                      <w:r w:rsidR="00CE6E80">
                        <w:rPr>
                          <w:rFonts w:ascii="Arial" w:hAnsi="Arial" w:cs="Arial"/>
                          <w:sz w:val="20"/>
                          <w:szCs w:val="22"/>
                        </w:rPr>
                        <w:t xml:space="preserve">the </w:t>
                      </w:r>
                      <w:r w:rsidR="00CE6E80" w:rsidRPr="00CD73F6">
                        <w:rPr>
                          <w:rFonts w:ascii="Arial" w:hAnsi="Arial" w:cs="Arial"/>
                          <w:sz w:val="20"/>
                          <w:szCs w:val="22"/>
                        </w:rPr>
                        <w:t>reliability and safety of those services.</w:t>
                      </w:r>
                    </w:p>
                    <w:p w:rsidR="00CE6E80" w:rsidRPr="00CD73F6" w:rsidRDefault="00CE6E80" w:rsidP="00AB36D8">
                      <w:pPr>
                        <w:pStyle w:val="BasicParagraph"/>
                        <w:spacing w:after="120"/>
                        <w:jc w:val="both"/>
                        <w:rPr>
                          <w:rFonts w:ascii="Arial" w:hAnsi="Arial" w:cs="Arial"/>
                          <w:sz w:val="20"/>
                          <w:szCs w:val="22"/>
                        </w:rPr>
                      </w:pPr>
                      <w:r w:rsidRPr="00CD73F6">
                        <w:rPr>
                          <w:rFonts w:ascii="Arial" w:hAnsi="Arial" w:cs="Arial"/>
                          <w:sz w:val="20"/>
                          <w:szCs w:val="22"/>
                        </w:rPr>
                        <w:t xml:space="preserve">ORA has a staff of </w:t>
                      </w:r>
                      <w:r w:rsidRPr="008B553C">
                        <w:rPr>
                          <w:rFonts w:ascii="Arial" w:hAnsi="Arial" w:cs="Arial"/>
                          <w:sz w:val="20"/>
                          <w:szCs w:val="22"/>
                        </w:rPr>
                        <w:t>147</w:t>
                      </w:r>
                      <w:r w:rsidRPr="00CD73F6">
                        <w:rPr>
                          <w:rFonts w:ascii="Arial" w:hAnsi="Arial" w:cs="Arial"/>
                          <w:sz w:val="20"/>
                          <w:szCs w:val="22"/>
                        </w:rPr>
                        <w:t xml:space="preserve"> professionals consisting of engineers, economists, scientists, and auditors with expertise in regulatory issues related to the electrici</w:t>
                      </w:r>
                      <w:r w:rsidR="0032682F">
                        <w:rPr>
                          <w:rFonts w:ascii="Arial" w:hAnsi="Arial" w:cs="Arial"/>
                          <w:sz w:val="20"/>
                          <w:szCs w:val="22"/>
                        </w:rPr>
                        <w:t xml:space="preserve">ty, natural gas, water, and </w:t>
                      </w:r>
                      <w:r w:rsidRPr="00CD73F6">
                        <w:rPr>
                          <w:rFonts w:ascii="Arial" w:hAnsi="Arial" w:cs="Arial"/>
                          <w:sz w:val="20"/>
                          <w:szCs w:val="22"/>
                        </w:rPr>
                        <w:t>communications industries in California. ORA’s staff performs in-depth review and analyses of regulatory policy issues and utility proposals, for funding that totals in the tens of billions of dollars, in order to determine whether utility requests are in the interest of the ratepayers who fund utility activities through their utility bills. ORA also supports environmental policies that benefit customers and seeks to ensure that utility actions comport with CPUC rules and California environmental laws and policy goals.</w:t>
                      </w:r>
                    </w:p>
                    <w:p w:rsidR="00CE6E80" w:rsidRPr="00CD73F6" w:rsidRDefault="00CE6E80" w:rsidP="00AB36D8">
                      <w:pPr>
                        <w:spacing w:after="120" w:line="288" w:lineRule="auto"/>
                        <w:jc w:val="both"/>
                        <w:rPr>
                          <w:sz w:val="20"/>
                          <w:szCs w:val="22"/>
                        </w:rPr>
                      </w:pPr>
                      <w:r w:rsidRPr="00CD73F6">
                        <w:rPr>
                          <w:rFonts w:ascii="Arial" w:hAnsi="Arial" w:cs="Arial"/>
                          <w:sz w:val="20"/>
                          <w:szCs w:val="22"/>
                        </w:rPr>
                        <w:t xml:space="preserve">In 2015, ORA participated in </w:t>
                      </w:r>
                      <w:r>
                        <w:rPr>
                          <w:rFonts w:ascii="Arial" w:hAnsi="Arial" w:cs="Arial"/>
                          <w:sz w:val="20"/>
                          <w:szCs w:val="22"/>
                        </w:rPr>
                        <w:t>192</w:t>
                      </w:r>
                      <w:r w:rsidRPr="00CD73F6">
                        <w:rPr>
                          <w:rFonts w:ascii="Arial" w:hAnsi="Arial" w:cs="Arial"/>
                          <w:sz w:val="20"/>
                          <w:szCs w:val="22"/>
                        </w:rPr>
                        <w:t xml:space="preserve"> CPUC proceedings and filed approximately </w:t>
                      </w:r>
                      <w:r>
                        <w:rPr>
                          <w:rFonts w:ascii="Arial" w:hAnsi="Arial" w:cs="Arial"/>
                          <w:sz w:val="20"/>
                          <w:szCs w:val="22"/>
                        </w:rPr>
                        <w:t>605</w:t>
                      </w:r>
                      <w:r w:rsidRPr="00CD73F6">
                        <w:rPr>
                          <w:rFonts w:ascii="Arial" w:hAnsi="Arial" w:cs="Arial"/>
                          <w:sz w:val="20"/>
                          <w:szCs w:val="22"/>
                        </w:rPr>
                        <w:t xml:space="preserve"> pleadings to aid the CPUC in de</w:t>
                      </w:r>
                      <w:r>
                        <w:rPr>
                          <w:rFonts w:ascii="Arial" w:hAnsi="Arial" w:cs="Arial"/>
                          <w:sz w:val="20"/>
                          <w:szCs w:val="22"/>
                        </w:rPr>
                        <w:t>veloping the record from which commissioner</w:t>
                      </w:r>
                      <w:r w:rsidRPr="00CD73F6">
                        <w:rPr>
                          <w:rFonts w:ascii="Arial" w:hAnsi="Arial" w:cs="Arial"/>
                          <w:sz w:val="20"/>
                          <w:szCs w:val="22"/>
                        </w:rPr>
                        <w:t xml:space="preserve">s formulate their final decisions. ORA met with decision-makers on behalf of ratepayers </w:t>
                      </w:r>
                      <w:r>
                        <w:rPr>
                          <w:rFonts w:ascii="Arial" w:hAnsi="Arial" w:cs="Arial"/>
                          <w:sz w:val="20"/>
                          <w:szCs w:val="22"/>
                        </w:rPr>
                        <w:t>112</w:t>
                      </w:r>
                      <w:r w:rsidRPr="00CD73F6">
                        <w:rPr>
                          <w:rFonts w:ascii="Arial" w:hAnsi="Arial" w:cs="Arial"/>
                          <w:sz w:val="20"/>
                          <w:szCs w:val="22"/>
                        </w:rPr>
                        <w:t xml:space="preserve"> times in 2015 to ensure that the consumer perspective was heard. </w:t>
                      </w:r>
                      <w:r w:rsidRPr="00F119A0">
                        <w:rPr>
                          <w:rFonts w:ascii="Arial" w:hAnsi="Arial" w:cs="Arial"/>
                          <w:sz w:val="20"/>
                          <w:szCs w:val="22"/>
                        </w:rPr>
                        <w:t xml:space="preserve">ORA’s </w:t>
                      </w:r>
                      <w:r w:rsidR="00040DD5">
                        <w:rPr>
                          <w:rFonts w:ascii="Arial" w:hAnsi="Arial" w:cs="Arial"/>
                          <w:sz w:val="20"/>
                          <w:szCs w:val="22"/>
                        </w:rPr>
                        <w:t>$27</w:t>
                      </w:r>
                      <w:r w:rsidRPr="00F119A0">
                        <w:rPr>
                          <w:rFonts w:ascii="Arial" w:hAnsi="Arial" w:cs="Arial"/>
                          <w:sz w:val="20"/>
                          <w:szCs w:val="22"/>
                        </w:rPr>
                        <w:t>,</w:t>
                      </w:r>
                      <w:r w:rsidR="00C63F90">
                        <w:rPr>
                          <w:rFonts w:ascii="Arial" w:hAnsi="Arial" w:cs="Arial"/>
                          <w:sz w:val="20"/>
                          <w:szCs w:val="22"/>
                        </w:rPr>
                        <w:t>745</w:t>
                      </w:r>
                      <w:r w:rsidRPr="00F119A0">
                        <w:rPr>
                          <w:rFonts w:ascii="Arial" w:hAnsi="Arial" w:cs="Arial"/>
                          <w:sz w:val="20"/>
                          <w:szCs w:val="22"/>
                        </w:rPr>
                        <w:t>,000</w:t>
                      </w:r>
                      <w:r w:rsidRPr="00CD73F6">
                        <w:rPr>
                          <w:rFonts w:ascii="Arial" w:hAnsi="Arial" w:cs="Arial"/>
                          <w:sz w:val="20"/>
                          <w:szCs w:val="22"/>
                        </w:rPr>
                        <w:t xml:space="preserve"> budget represents a small fraction of ratepayers’ investment as compared to the </w:t>
                      </w:r>
                      <w:r w:rsidRPr="008B553C">
                        <w:rPr>
                          <w:rFonts w:ascii="Arial" w:hAnsi="Arial" w:cs="Arial"/>
                          <w:sz w:val="20"/>
                          <w:szCs w:val="22"/>
                        </w:rPr>
                        <w:t>$5.3 billion</w:t>
                      </w:r>
                      <w:r w:rsidRPr="00CD73F6">
                        <w:rPr>
                          <w:rFonts w:ascii="Arial" w:hAnsi="Arial" w:cs="Arial"/>
                          <w:sz w:val="20"/>
                          <w:szCs w:val="22"/>
                        </w:rPr>
                        <w:t xml:space="preserve"> in savings that ORA helped to achieve on behalf of ratepayers in 2015. This savings was realized in the form of lower utility revenues and avoided rate increases. For every dollar customers spent on ORA in 2015, they saved approximately </w:t>
                      </w:r>
                      <w:r w:rsidRPr="00F119A0">
                        <w:rPr>
                          <w:rFonts w:ascii="Arial" w:hAnsi="Arial" w:cs="Arial"/>
                          <w:sz w:val="20"/>
                          <w:szCs w:val="22"/>
                        </w:rPr>
                        <w:t>$1</w:t>
                      </w:r>
                      <w:r w:rsidR="00040DD5">
                        <w:rPr>
                          <w:rFonts w:ascii="Arial" w:hAnsi="Arial" w:cs="Arial"/>
                          <w:sz w:val="20"/>
                          <w:szCs w:val="22"/>
                        </w:rPr>
                        <w:t>91</w:t>
                      </w:r>
                      <w:r w:rsidRPr="00CD73F6">
                        <w:rPr>
                          <w:rFonts w:ascii="Arial" w:hAnsi="Arial" w:cs="Arial"/>
                          <w:sz w:val="20"/>
                          <w:szCs w:val="22"/>
                        </w:rPr>
                        <w:t xml:space="preserve"> across their utility bills. Additionally, ORA influenced the outcome of numerous CPUC policies, decisions, and California legislation that will positively impact ratepayers.</w:t>
                      </w:r>
                    </w:p>
                  </w:txbxContent>
                </v:textbox>
              </v:shape>
            </w:pict>
          </mc:Fallback>
        </mc:AlternateContent>
      </w:r>
    </w:p>
    <w:p w:rsidR="00AB36D8" w:rsidRDefault="00AB36D8" w:rsidP="00DD6CB0">
      <w:pPr>
        <w:spacing w:after="120" w:line="288" w:lineRule="auto"/>
        <w:jc w:val="both"/>
        <w:rPr>
          <w:rFonts w:ascii="Arial" w:hAnsi="Arial" w:cs="Arial"/>
        </w:rPr>
      </w:pPr>
    </w:p>
    <w:p w:rsidR="00AB36D8" w:rsidRDefault="00AB36D8" w:rsidP="00DD6CB0">
      <w:pPr>
        <w:spacing w:after="120" w:line="288" w:lineRule="auto"/>
        <w:jc w:val="both"/>
        <w:rPr>
          <w:rFonts w:ascii="Arial" w:hAnsi="Arial" w:cs="Arial"/>
        </w:rPr>
      </w:pPr>
    </w:p>
    <w:p w:rsidR="00AB36D8" w:rsidRDefault="00AB36D8" w:rsidP="00DD6CB0">
      <w:pPr>
        <w:spacing w:after="120" w:line="288" w:lineRule="auto"/>
        <w:jc w:val="both"/>
        <w:rPr>
          <w:rFonts w:ascii="Arial" w:hAnsi="Arial" w:cs="Arial"/>
        </w:rPr>
      </w:pPr>
    </w:p>
    <w:p w:rsidR="00AB36D8" w:rsidRDefault="00AB36D8" w:rsidP="00DD6CB0">
      <w:pPr>
        <w:spacing w:after="120" w:line="288" w:lineRule="auto"/>
        <w:jc w:val="both"/>
        <w:rPr>
          <w:rFonts w:ascii="Arial" w:hAnsi="Arial" w:cs="Arial"/>
        </w:rPr>
      </w:pPr>
    </w:p>
    <w:p w:rsidR="00AB36D8" w:rsidRDefault="00AB36D8" w:rsidP="00DD6CB0">
      <w:pPr>
        <w:spacing w:after="120" w:line="288" w:lineRule="auto"/>
        <w:jc w:val="both"/>
        <w:rPr>
          <w:rFonts w:ascii="Arial" w:hAnsi="Arial" w:cs="Arial"/>
        </w:rPr>
      </w:pPr>
    </w:p>
    <w:p w:rsidR="00AB36D8" w:rsidRDefault="00AB36D8" w:rsidP="00DD6CB0">
      <w:pPr>
        <w:spacing w:after="120" w:line="288" w:lineRule="auto"/>
        <w:jc w:val="both"/>
        <w:rPr>
          <w:rFonts w:ascii="Arial" w:hAnsi="Arial" w:cs="Arial"/>
        </w:rPr>
      </w:pPr>
    </w:p>
    <w:p w:rsidR="00AB36D8" w:rsidRDefault="00AB36D8" w:rsidP="00DD6CB0">
      <w:pPr>
        <w:spacing w:after="120" w:line="288" w:lineRule="auto"/>
        <w:jc w:val="both"/>
        <w:rPr>
          <w:rFonts w:ascii="Arial" w:hAnsi="Arial" w:cs="Arial"/>
        </w:rPr>
      </w:pPr>
    </w:p>
    <w:p w:rsidR="00AB36D8" w:rsidRDefault="00AB36D8" w:rsidP="00DD6CB0">
      <w:pPr>
        <w:spacing w:after="120" w:line="288" w:lineRule="auto"/>
        <w:jc w:val="both"/>
        <w:rPr>
          <w:rFonts w:ascii="Arial" w:hAnsi="Arial" w:cs="Arial"/>
        </w:rPr>
      </w:pPr>
    </w:p>
    <w:p w:rsidR="00AB36D8" w:rsidRDefault="00AB36D8" w:rsidP="00DD6CB0">
      <w:pPr>
        <w:spacing w:after="120" w:line="288" w:lineRule="auto"/>
        <w:jc w:val="both"/>
        <w:rPr>
          <w:rFonts w:ascii="Arial" w:hAnsi="Arial" w:cs="Arial"/>
        </w:rPr>
      </w:pPr>
    </w:p>
    <w:p w:rsidR="00AB36D8" w:rsidRDefault="00AB36D8" w:rsidP="00DD6CB0">
      <w:pPr>
        <w:spacing w:after="120" w:line="288" w:lineRule="auto"/>
        <w:jc w:val="both"/>
        <w:rPr>
          <w:rFonts w:ascii="Arial" w:hAnsi="Arial" w:cs="Arial"/>
        </w:rPr>
      </w:pPr>
    </w:p>
    <w:p w:rsidR="00AB36D8" w:rsidRDefault="00AB36D8" w:rsidP="00DD6CB0">
      <w:pPr>
        <w:spacing w:after="120" w:line="288" w:lineRule="auto"/>
        <w:jc w:val="both"/>
        <w:rPr>
          <w:rFonts w:ascii="Arial" w:hAnsi="Arial" w:cs="Arial"/>
        </w:rPr>
      </w:pPr>
    </w:p>
    <w:p w:rsidR="00446921" w:rsidRDefault="00446921" w:rsidP="00A07AD1">
      <w:pPr>
        <w:autoSpaceDE w:val="0"/>
        <w:autoSpaceDN w:val="0"/>
        <w:adjustRightInd w:val="0"/>
        <w:spacing w:after="120" w:line="276" w:lineRule="auto"/>
        <w:jc w:val="both"/>
        <w:rPr>
          <w:rFonts w:ascii="Arial" w:hAnsi="Arial" w:cs="Arial"/>
          <w:bCs/>
          <w:color w:val="004F76"/>
          <w:sz w:val="28"/>
          <w:szCs w:val="20"/>
        </w:rPr>
      </w:pPr>
    </w:p>
    <w:p w:rsidR="00F80EB8" w:rsidRDefault="00F80EB8" w:rsidP="00A07AD1">
      <w:pPr>
        <w:autoSpaceDE w:val="0"/>
        <w:autoSpaceDN w:val="0"/>
        <w:adjustRightInd w:val="0"/>
        <w:spacing w:after="120" w:line="276" w:lineRule="auto"/>
        <w:jc w:val="both"/>
        <w:rPr>
          <w:rFonts w:ascii="Arial" w:hAnsi="Arial" w:cs="Arial"/>
          <w:bCs/>
          <w:color w:val="004F76"/>
          <w:sz w:val="28"/>
          <w:szCs w:val="20"/>
        </w:rPr>
        <w:sectPr w:rsidR="00F80EB8" w:rsidSect="003D4D3D">
          <w:footerReference w:type="first" r:id="rId38"/>
          <w:type w:val="oddPage"/>
          <w:pgSz w:w="12240" w:h="15840" w:code="1"/>
          <w:pgMar w:top="1080" w:right="936" w:bottom="1080" w:left="936" w:header="720" w:footer="432" w:gutter="0"/>
          <w:pgNumType w:start="1"/>
          <w:cols w:space="720"/>
          <w:titlePg/>
          <w:docGrid w:linePitch="360"/>
        </w:sectPr>
      </w:pPr>
    </w:p>
    <w:p w:rsidR="008F27A1" w:rsidRDefault="008F27A1" w:rsidP="00A07AD1">
      <w:pPr>
        <w:autoSpaceDE w:val="0"/>
        <w:autoSpaceDN w:val="0"/>
        <w:adjustRightInd w:val="0"/>
        <w:spacing w:after="120" w:line="276" w:lineRule="auto"/>
        <w:jc w:val="both"/>
        <w:rPr>
          <w:rFonts w:ascii="Arial" w:hAnsi="Arial" w:cs="Arial"/>
          <w:bCs/>
          <w:color w:val="004F76"/>
          <w:sz w:val="28"/>
          <w:szCs w:val="20"/>
        </w:rPr>
      </w:pPr>
    </w:p>
    <w:p w:rsidR="008F27A1" w:rsidRDefault="008F27A1" w:rsidP="00A07AD1">
      <w:pPr>
        <w:autoSpaceDE w:val="0"/>
        <w:autoSpaceDN w:val="0"/>
        <w:adjustRightInd w:val="0"/>
        <w:spacing w:after="120" w:line="276" w:lineRule="auto"/>
        <w:jc w:val="both"/>
        <w:rPr>
          <w:rFonts w:ascii="Arial" w:hAnsi="Arial" w:cs="Arial"/>
          <w:bCs/>
          <w:color w:val="004F76"/>
          <w:sz w:val="28"/>
          <w:szCs w:val="20"/>
        </w:rPr>
      </w:pPr>
    </w:p>
    <w:p w:rsidR="008F27A1" w:rsidRDefault="00BE0E61" w:rsidP="00A07AD1">
      <w:pPr>
        <w:autoSpaceDE w:val="0"/>
        <w:autoSpaceDN w:val="0"/>
        <w:adjustRightInd w:val="0"/>
        <w:spacing w:after="120" w:line="276" w:lineRule="auto"/>
        <w:jc w:val="both"/>
        <w:rPr>
          <w:rFonts w:ascii="Arial" w:hAnsi="Arial" w:cs="Arial"/>
          <w:bCs/>
          <w:color w:val="004F76"/>
          <w:sz w:val="28"/>
          <w:szCs w:val="20"/>
        </w:rPr>
      </w:pPr>
      <w:r>
        <w:rPr>
          <w:rFonts w:ascii="Arial" w:hAnsi="Arial" w:cs="Arial"/>
          <w:noProof/>
        </w:rPr>
        <mc:AlternateContent>
          <mc:Choice Requires="wpg">
            <w:drawing>
              <wp:anchor distT="0" distB="0" distL="114300" distR="114300" simplePos="0" relativeHeight="251650560" behindDoc="0" locked="0" layoutInCell="1" allowOverlap="1" wp14:anchorId="6986CCD7" wp14:editId="736D4FA9">
                <wp:simplePos x="0" y="0"/>
                <wp:positionH relativeFrom="column">
                  <wp:posOffset>1029335</wp:posOffset>
                </wp:positionH>
                <wp:positionV relativeFrom="paragraph">
                  <wp:posOffset>85090</wp:posOffset>
                </wp:positionV>
                <wp:extent cx="5562600" cy="1899920"/>
                <wp:effectExtent l="0" t="0" r="0" b="24130"/>
                <wp:wrapNone/>
                <wp:docPr id="5177" name="Group 5177"/>
                <wp:cNvGraphicFramePr/>
                <a:graphic xmlns:a="http://schemas.openxmlformats.org/drawingml/2006/main">
                  <a:graphicData uri="http://schemas.microsoft.com/office/word/2010/wordprocessingGroup">
                    <wpg:wgp>
                      <wpg:cNvGrpSpPr/>
                      <wpg:grpSpPr>
                        <a:xfrm>
                          <a:off x="0" y="0"/>
                          <a:ext cx="5562600" cy="1899920"/>
                          <a:chOff x="0" y="0"/>
                          <a:chExt cx="5562600" cy="1900361"/>
                        </a:xfrm>
                      </wpg:grpSpPr>
                      <wps:wsp>
                        <wps:cNvPr id="55" name="Text Box 5317"/>
                        <wps:cNvSpPr txBox="1">
                          <a:spLocks noChangeArrowheads="1"/>
                        </wps:cNvSpPr>
                        <wps:spPr bwMode="auto">
                          <a:xfrm>
                            <a:off x="0" y="437321"/>
                            <a:ext cx="5539443" cy="1463040"/>
                          </a:xfrm>
                          <a:prstGeom prst="rect">
                            <a:avLst/>
                          </a:prstGeom>
                          <a:solidFill>
                            <a:schemeClr val="accent1">
                              <a:lumMod val="20000"/>
                              <a:lumOff val="80000"/>
                            </a:schemeClr>
                          </a:solidFill>
                          <a:ln w="9525" algn="ctr">
                            <a:solidFill>
                              <a:srgbClr val="000000"/>
                            </a:solidFill>
                            <a:miter lim="800000"/>
                            <a:headEnd/>
                            <a:tailEnd/>
                          </a:ln>
                          <a:effectLst/>
                          <a:extLst/>
                        </wps:spPr>
                        <wps:txbx>
                          <w:txbxContent>
                            <w:p w:rsidR="00CE6E80" w:rsidRPr="00FC5E26" w:rsidRDefault="00CE6E80" w:rsidP="008F27A1">
                              <w:pPr>
                                <w:spacing w:line="276" w:lineRule="auto"/>
                                <w:jc w:val="both"/>
                                <w:rPr>
                                  <w:rFonts w:ascii="Arial" w:hAnsi="Arial" w:cs="Arial"/>
                                  <w:sz w:val="18"/>
                                  <w:szCs w:val="18"/>
                                </w:rPr>
                              </w:pPr>
                              <w:r w:rsidRPr="00FC5E26">
                                <w:rPr>
                                  <w:rFonts w:ascii="Arial" w:hAnsi="Arial" w:cs="Arial"/>
                                  <w:iCs/>
                                  <w:sz w:val="18"/>
                                  <w:szCs w:val="18"/>
                                </w:rPr>
                                <w:t xml:space="preserve">In 1984, the CPUC created ORA, formerly known as the “Public Staff Division,” in a reorganization plan to more efficiently use staff resources. In 1996, SB 960 (Chapter 856, Statutes of 1996) made ORA independent with respect to policy, advocacy, and budget. SB 960 made the ORA Director a gubernatorial appointee subject to Senate confirmation. </w:t>
                              </w:r>
                              <w:r>
                                <w:rPr>
                                  <w:rFonts w:ascii="Arial" w:hAnsi="Arial" w:cs="Arial"/>
                                  <w:iCs/>
                                  <w:sz w:val="18"/>
                                  <w:szCs w:val="18"/>
                                </w:rPr>
                                <w:t>I</w:t>
                              </w:r>
                              <w:r w:rsidRPr="00FC5E26">
                                <w:rPr>
                                  <w:rFonts w:ascii="Arial" w:hAnsi="Arial" w:cs="Arial"/>
                                  <w:iCs/>
                                  <w:sz w:val="18"/>
                                  <w:szCs w:val="18"/>
                                </w:rPr>
                                <w:t>n 1997, the CPUC implemented its reorganization plan, “Vision 2000,” which significantly diminished the size of ORA staff, but the ratepayer advocacy responsibilities and workload remained the same. In 2005, SB 608 (Chapter 440, Statues of 2005) strengthened the organization by providing it with autonomy over its budget and staffing resources, and authorizing the appointment of a full-time Chief Counsel. In 2013, SB 96 provided ORA more autonomy by making it an independent program within the CPUC.</w:t>
                              </w:r>
                            </w:p>
                          </w:txbxContent>
                        </wps:txbx>
                        <wps:bodyPr rot="0" vert="horz" wrap="square" lIns="91440" tIns="45720" rIns="91440" bIns="45720" anchor="t" anchorCtr="0" upright="1">
                          <a:noAutofit/>
                        </wps:bodyPr>
                      </wps:wsp>
                      <wps:wsp>
                        <wps:cNvPr id="56" name="Text Box 5318"/>
                        <wps:cNvSpPr txBox="1">
                          <a:spLocks noChangeArrowheads="1"/>
                        </wps:cNvSpPr>
                        <wps:spPr bwMode="auto">
                          <a:xfrm>
                            <a:off x="0" y="0"/>
                            <a:ext cx="5562600" cy="390439"/>
                          </a:xfrm>
                          <a:prstGeom prst="rect">
                            <a:avLst/>
                          </a:prstGeom>
                          <a:solidFill>
                            <a:schemeClr val="tx1"/>
                          </a:solidFill>
                          <a:ln>
                            <a:noFill/>
                          </a:ln>
                          <a:effectLst/>
                          <a:extLst/>
                        </wps:spPr>
                        <wps:txbx>
                          <w:txbxContent>
                            <w:p w:rsidR="00CE6E80" w:rsidRPr="00FC5E26" w:rsidRDefault="00CE6E80" w:rsidP="00FC5E26">
                              <w:pPr>
                                <w:spacing w:before="120" w:after="120" w:line="360" w:lineRule="auto"/>
                                <w:jc w:val="right"/>
                                <w:rPr>
                                  <w:rFonts w:ascii="Arial Black" w:hAnsi="Arial Black"/>
                                </w:rPr>
                              </w:pPr>
                              <w:r w:rsidRPr="00FC5E26">
                                <w:rPr>
                                  <w:rFonts w:ascii="Neuropol" w:hAnsi="Neuropol" w:cs="Gautami"/>
                                  <w:b/>
                                  <w:bCs/>
                                  <w:color w:val="FFFFFF"/>
                                </w:rPr>
                                <w:t xml:space="preserve">                                                                               </w:t>
                              </w:r>
                              <w:r w:rsidRPr="00FC5E26">
                                <w:rPr>
                                  <w:rFonts w:ascii="Arial Black" w:hAnsi="Arial Black" w:cs="Gautami"/>
                                  <w:b/>
                                  <w:bCs/>
                                  <w:color w:val="FFFFFF"/>
                                </w:rPr>
                                <w:t xml:space="preserve">About  O R A    </w:t>
                              </w:r>
                            </w:p>
                          </w:txbxContent>
                        </wps:txbx>
                        <wps:bodyPr rot="0" vert="horz" wrap="square" lIns="91440" tIns="45720" rIns="91440" bIns="45720" anchor="t" anchorCtr="0" upright="1">
                          <a:noAutofit/>
                        </wps:bodyPr>
                      </wps:wsp>
                    </wpg:wgp>
                  </a:graphicData>
                </a:graphic>
              </wp:anchor>
            </w:drawing>
          </mc:Choice>
          <mc:Fallback>
            <w:pict>
              <v:group id="Group 5177" o:spid="_x0000_s1048" style="position:absolute;left:0;text-align:left;margin-left:81.05pt;margin-top:6.7pt;width:438pt;height:149.6pt;z-index:251650560" coordsize="55626,19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">
                <v:shape id="Text Box 5317" o:spid="_x0000_s1049" type="#_x0000_t202" style="position:absolute;top:4373;width:55394;height:14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7h8QA&#10;AADbAAAADwAAAGRycy9kb3ducmV2LnhtbESPT2vCQBTE7wW/w/IEb3VjxVrSrCKFSC6lNfHS2yP7&#10;8odm34bsauK37xYEj8PM/IZJ9pPpxJUG11pWsFpGIIhLq1uuFZyL9PkNhPPIGjvLpOBGDva72VOC&#10;sbYjn+ia+1oECLsYFTTe97GUrmzIoFvanjh4lR0M+iCHWuoBxwA3nXyJoldpsOWw0GBPHw2Vv/nF&#10;KDh+p592/ZNvO3dkX6d98VVlhVKL+XR4B+Fp8o/wvZ1pBZsN/H8JP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pO4fEAAAA2wAAAA8AAAAAAAAAAAAAAAAAmAIAAGRycy9k&#10;b3ducmV2LnhtbFBLBQYAAAAABAAEAPUAAACJAwAAAAA=&#10;" fillcolor="#dbe5f1 [660]">
                  <v:textbox>
                    <w:txbxContent>
                      <w:p w:rsidR="00CE6E80" w:rsidRPr="00FC5E26" w:rsidRDefault="00CE6E80" w:rsidP="008F27A1">
                        <w:pPr>
                          <w:spacing w:line="276" w:lineRule="auto"/>
                          <w:jc w:val="both"/>
                          <w:rPr>
                            <w:rFonts w:ascii="Arial" w:hAnsi="Arial" w:cs="Arial"/>
                            <w:sz w:val="18"/>
                            <w:szCs w:val="18"/>
                          </w:rPr>
                        </w:pPr>
                        <w:r w:rsidRPr="00FC5E26">
                          <w:rPr>
                            <w:rFonts w:ascii="Arial" w:hAnsi="Arial" w:cs="Arial"/>
                            <w:iCs/>
                            <w:sz w:val="18"/>
                            <w:szCs w:val="18"/>
                          </w:rPr>
                          <w:t xml:space="preserve">In 1984, the CPUC created ORA, formerly known as the “Public Staff Division,” in a reorganization plan to more efficiently use staff resources. In 1996, SB 960 (Chapter 856, Statutes of 1996) made ORA independent with respect to policy, advocacy, and budget. SB 960 made the ORA Director a gubernatorial appointee subject to Senate confirmation. </w:t>
                        </w:r>
                        <w:r>
                          <w:rPr>
                            <w:rFonts w:ascii="Arial" w:hAnsi="Arial" w:cs="Arial"/>
                            <w:iCs/>
                            <w:sz w:val="18"/>
                            <w:szCs w:val="18"/>
                          </w:rPr>
                          <w:t>I</w:t>
                        </w:r>
                        <w:r w:rsidRPr="00FC5E26">
                          <w:rPr>
                            <w:rFonts w:ascii="Arial" w:hAnsi="Arial" w:cs="Arial"/>
                            <w:iCs/>
                            <w:sz w:val="18"/>
                            <w:szCs w:val="18"/>
                          </w:rPr>
                          <w:t>n 1997, the CPUC implemented its reorganization plan, “Vision 2000,” which significantly diminished the size of ORA staff, but the ratepayer advocacy responsibilities and workload remained the same. In 2005, SB 608 (Chapter 440, Statues of 2005) strengthened the organization by providing it with autonomy over its budget and staffing resources, and authorizing the appointment of a full-time Chief Counsel. In 2013, SB 96 provided ORA more autonomy by making it an independent program within the CPUC.</w:t>
                        </w:r>
                      </w:p>
                    </w:txbxContent>
                  </v:textbox>
                </v:shape>
                <v:shape id="Text Box 5318" o:spid="_x0000_s1050" type="#_x0000_t202" style="position:absolute;width:55626;height:3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NZX8QA&#10;AADbAAAADwAAAGRycy9kb3ducmV2LnhtbESPQWvCQBSE74L/YXlCb7oxEFtSVylqUXrTloq3193X&#10;JCT7NmRXjf++KxQ8DjPzDTNf9rYRF+p85VjBdJKAINbOVFwo+Pp8H7+A8AHZYOOYFNzIw3IxHMwx&#10;N+7Ke7ocQiEihH2OCsoQ2lxKr0uy6CeuJY7er+sshii7QpoOrxFuG5kmyUxarDgulNjSqiRdH85W&#10;QS11+vOcfqw3/lhvs7M+bb+TTKmnUf/2CiJQHx7h//bOKMhmc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DWV/EAAAA2wAAAA8AAAAAAAAAAAAAAAAAmAIAAGRycy9k&#10;b3ducmV2LnhtbFBLBQYAAAAABAAEAPUAAACJAwAAAAA=&#10;" fillcolor="black [3213]" stroked="f">
                  <v:textbox>
                    <w:txbxContent>
                      <w:p w:rsidR="00CE6E80" w:rsidRPr="00FC5E26" w:rsidRDefault="00CE6E80" w:rsidP="00FC5E26">
                        <w:pPr>
                          <w:spacing w:before="120" w:after="120" w:line="360" w:lineRule="auto"/>
                          <w:jc w:val="right"/>
                          <w:rPr>
                            <w:rFonts w:ascii="Arial Black" w:hAnsi="Arial Black"/>
                          </w:rPr>
                        </w:pPr>
                        <w:r w:rsidRPr="00FC5E26">
                          <w:rPr>
                            <w:rFonts w:ascii="Neuropol" w:hAnsi="Neuropol" w:cs="Gautami"/>
                            <w:b/>
                            <w:bCs/>
                            <w:color w:val="FFFFFF"/>
                          </w:rPr>
                          <w:t xml:space="preserve">                                                                               </w:t>
                        </w:r>
                        <w:r w:rsidRPr="00FC5E26">
                          <w:rPr>
                            <w:rFonts w:ascii="Arial Black" w:hAnsi="Arial Black" w:cs="Gautami"/>
                            <w:b/>
                            <w:bCs/>
                            <w:color w:val="FFFFFF"/>
                          </w:rPr>
                          <w:t xml:space="preserve">About  O R A    </w:t>
                        </w:r>
                      </w:p>
                    </w:txbxContent>
                  </v:textbox>
                </v:shape>
              </v:group>
            </w:pict>
          </mc:Fallback>
        </mc:AlternateContent>
      </w:r>
    </w:p>
    <w:p w:rsidR="008F27A1" w:rsidRDefault="008F27A1" w:rsidP="00A07AD1">
      <w:pPr>
        <w:autoSpaceDE w:val="0"/>
        <w:autoSpaceDN w:val="0"/>
        <w:adjustRightInd w:val="0"/>
        <w:spacing w:after="120" w:line="276" w:lineRule="auto"/>
        <w:jc w:val="both"/>
        <w:rPr>
          <w:rFonts w:ascii="Arial" w:hAnsi="Arial" w:cs="Arial"/>
          <w:bCs/>
          <w:color w:val="004F76"/>
          <w:sz w:val="28"/>
          <w:szCs w:val="20"/>
        </w:rPr>
      </w:pPr>
    </w:p>
    <w:p w:rsidR="008F27A1" w:rsidRDefault="008F27A1" w:rsidP="00A07AD1">
      <w:pPr>
        <w:autoSpaceDE w:val="0"/>
        <w:autoSpaceDN w:val="0"/>
        <w:adjustRightInd w:val="0"/>
        <w:spacing w:after="120" w:line="276" w:lineRule="auto"/>
        <w:jc w:val="both"/>
        <w:rPr>
          <w:rFonts w:ascii="Arial" w:hAnsi="Arial" w:cs="Arial"/>
          <w:bCs/>
          <w:color w:val="004F76"/>
          <w:sz w:val="28"/>
          <w:szCs w:val="20"/>
        </w:rPr>
      </w:pPr>
    </w:p>
    <w:p w:rsidR="008F27A1" w:rsidRDefault="008F27A1" w:rsidP="00A07AD1">
      <w:pPr>
        <w:autoSpaceDE w:val="0"/>
        <w:autoSpaceDN w:val="0"/>
        <w:adjustRightInd w:val="0"/>
        <w:spacing w:after="120" w:line="276" w:lineRule="auto"/>
        <w:jc w:val="both"/>
        <w:rPr>
          <w:rFonts w:ascii="Arial" w:hAnsi="Arial" w:cs="Arial"/>
          <w:bCs/>
          <w:color w:val="004F76"/>
          <w:sz w:val="28"/>
          <w:szCs w:val="20"/>
        </w:rPr>
      </w:pPr>
    </w:p>
    <w:p w:rsidR="008F27A1" w:rsidRDefault="008F27A1" w:rsidP="00A07AD1">
      <w:pPr>
        <w:autoSpaceDE w:val="0"/>
        <w:autoSpaceDN w:val="0"/>
        <w:adjustRightInd w:val="0"/>
        <w:spacing w:after="120" w:line="276" w:lineRule="auto"/>
        <w:jc w:val="both"/>
        <w:rPr>
          <w:rFonts w:ascii="Arial" w:hAnsi="Arial" w:cs="Arial"/>
          <w:bCs/>
          <w:color w:val="004F76"/>
          <w:sz w:val="28"/>
          <w:szCs w:val="20"/>
        </w:rPr>
      </w:pPr>
    </w:p>
    <w:p w:rsidR="008F27A1" w:rsidRDefault="008F27A1" w:rsidP="00A07AD1">
      <w:pPr>
        <w:autoSpaceDE w:val="0"/>
        <w:autoSpaceDN w:val="0"/>
        <w:adjustRightInd w:val="0"/>
        <w:spacing w:after="120" w:line="276" w:lineRule="auto"/>
        <w:jc w:val="both"/>
        <w:rPr>
          <w:rFonts w:ascii="Arial" w:hAnsi="Arial" w:cs="Arial"/>
          <w:bCs/>
          <w:color w:val="004F76"/>
          <w:sz w:val="28"/>
          <w:szCs w:val="20"/>
        </w:rPr>
      </w:pPr>
    </w:p>
    <w:p w:rsidR="006B2C29" w:rsidRDefault="006B2C29" w:rsidP="00160420">
      <w:pPr>
        <w:pStyle w:val="Heading1"/>
        <w:spacing w:after="120"/>
        <w:jc w:val="left"/>
        <w:rPr>
          <w:rFonts w:ascii="Arial Black" w:hAnsi="Arial Black" w:cs="Arial"/>
          <w:b/>
          <w:bCs/>
          <w:i w:val="0"/>
          <w:color w:val="4F81BD" w:themeColor="accent1"/>
          <w:sz w:val="28"/>
        </w:rPr>
      </w:pPr>
    </w:p>
    <w:p w:rsidR="00AC66F7" w:rsidRPr="00BE0E61" w:rsidRDefault="00AC66F7">
      <w:pPr>
        <w:rPr>
          <w:rFonts w:ascii="Arial Black" w:hAnsi="Arial Black" w:cs="Arial"/>
          <w:b/>
          <w:bCs/>
          <w:color w:val="4F81BD" w:themeColor="accent1"/>
          <w:sz w:val="28"/>
          <w:szCs w:val="20"/>
        </w:rPr>
      </w:pPr>
      <w:r>
        <w:rPr>
          <w:rFonts w:ascii="Arial Black" w:hAnsi="Arial Black" w:cs="Arial"/>
          <w:b/>
          <w:bCs/>
          <w:i/>
          <w:color w:val="4F81BD" w:themeColor="accent1"/>
          <w:sz w:val="28"/>
        </w:rPr>
        <w:br w:type="page"/>
      </w:r>
    </w:p>
    <w:p w:rsidR="00325A6A" w:rsidRDefault="0009202F" w:rsidP="00160420">
      <w:pPr>
        <w:pStyle w:val="Heading1"/>
        <w:spacing w:after="120"/>
        <w:jc w:val="left"/>
        <w:rPr>
          <w:rFonts w:ascii="Arial Black" w:hAnsi="Arial Black" w:cs="Arial"/>
          <w:b/>
          <w:bCs/>
          <w:i w:val="0"/>
          <w:color w:val="4F81BD" w:themeColor="accent1"/>
          <w:sz w:val="28"/>
        </w:rPr>
      </w:pPr>
      <w:r>
        <w:rPr>
          <w:rFonts w:ascii="Arial Black" w:hAnsi="Arial Black" w:cs="Arial"/>
          <w:b/>
          <w:bCs/>
          <w:i w:val="0"/>
          <w:noProof/>
          <w:color w:val="4F81BD" w:themeColor="accent1"/>
          <w:sz w:val="28"/>
        </w:rPr>
        <w:lastRenderedPageBreak/>
        <mc:AlternateContent>
          <mc:Choice Requires="wps">
            <w:drawing>
              <wp:anchor distT="0" distB="0" distL="114300" distR="114300" simplePos="0" relativeHeight="251729408" behindDoc="0" locked="0" layoutInCell="1" allowOverlap="1" wp14:anchorId="5998DBD2" wp14:editId="5835E46C">
                <wp:simplePos x="0" y="0"/>
                <wp:positionH relativeFrom="column">
                  <wp:posOffset>1259840</wp:posOffset>
                </wp:positionH>
                <wp:positionV relativeFrom="paragraph">
                  <wp:posOffset>217805</wp:posOffset>
                </wp:positionV>
                <wp:extent cx="1435100" cy="12001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35100" cy="1200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80" w:rsidRDefault="00CE6E80">
                            <w:r>
                              <w:rPr>
                                <w:rFonts w:ascii="Arial" w:hAnsi="Arial" w:cs="Arial"/>
                                <w:noProof/>
                              </w:rPr>
                              <w:drawing>
                                <wp:inline distT="0" distB="0" distL="0" distR="0" wp14:anchorId="431597B1" wp14:editId="2E694487">
                                  <wp:extent cx="1170469" cy="11508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windmill.png"/>
                                          <pic:cNvPicPr/>
                                        </pic:nvPicPr>
                                        <pic:blipFill>
                                          <a:blip r:embed="rId37">
                                            <a:extLst>
                                              <a:ext uri="{28A0092B-C50C-407E-A947-70E740481C1C}">
                                                <a14:useLocalDpi xmlns:a14="http://schemas.microsoft.com/office/drawing/2010/main" val="0"/>
                                              </a:ext>
                                            </a:extLst>
                                          </a:blip>
                                          <a:stretch>
                                            <a:fillRect/>
                                          </a:stretch>
                                        </pic:blipFill>
                                        <pic:spPr>
                                          <a:xfrm>
                                            <a:off x="0" y="0"/>
                                            <a:ext cx="1173982" cy="11542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1" type="#_x0000_t202" style="position:absolute;margin-left:99.2pt;margin-top:17.15pt;width:113pt;height:9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" fillcolor="white [3201]" stroked="f" strokeweight=".5pt">
                <v:textbox>
                  <w:txbxContent>
                    <w:p w:rsidR="00CE6E80" w:rsidRDefault="00CE6E80">
                      <w:r>
                        <w:rPr>
                          <w:rFonts w:ascii="Arial" w:hAnsi="Arial" w:cs="Arial"/>
                          <w:noProof/>
                        </w:rPr>
                        <w:drawing>
                          <wp:inline distT="0" distB="0" distL="0" distR="0" wp14:anchorId="431597B1" wp14:editId="2E694487">
                            <wp:extent cx="1170469" cy="11508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windmill.png"/>
                                    <pic:cNvPicPr/>
                                  </pic:nvPicPr>
                                  <pic:blipFill>
                                    <a:blip r:embed="rId37">
                                      <a:extLst>
                                        <a:ext uri="{28A0092B-C50C-407E-A947-70E740481C1C}">
                                          <a14:useLocalDpi xmlns:a14="http://schemas.microsoft.com/office/drawing/2010/main" val="0"/>
                                        </a:ext>
                                      </a:extLst>
                                    </a:blip>
                                    <a:stretch>
                                      <a:fillRect/>
                                    </a:stretch>
                                  </pic:blipFill>
                                  <pic:spPr>
                                    <a:xfrm>
                                      <a:off x="0" y="0"/>
                                      <a:ext cx="1173982" cy="1154284"/>
                                    </a:xfrm>
                                    <a:prstGeom prst="rect">
                                      <a:avLst/>
                                    </a:prstGeom>
                                  </pic:spPr>
                                </pic:pic>
                              </a:graphicData>
                            </a:graphic>
                          </wp:inline>
                        </w:drawing>
                      </w:r>
                    </w:p>
                  </w:txbxContent>
                </v:textbox>
              </v:shape>
            </w:pict>
          </mc:Fallback>
        </mc:AlternateContent>
      </w:r>
    </w:p>
    <w:p w:rsidR="0009202F" w:rsidRDefault="0009202F" w:rsidP="0009202F">
      <w:pPr>
        <w:pStyle w:val="Heading1"/>
        <w:spacing w:after="240"/>
        <w:jc w:val="left"/>
        <w:rPr>
          <w:rFonts w:ascii="Arial Black" w:hAnsi="Arial Black" w:cs="Arial"/>
          <w:b/>
          <w:bCs/>
          <w:i w:val="0"/>
          <w:color w:val="4F81BD" w:themeColor="accent1"/>
          <w:sz w:val="28"/>
        </w:rPr>
      </w:pPr>
    </w:p>
    <w:p w:rsidR="00D84166" w:rsidRDefault="00D84166" w:rsidP="0009202F">
      <w:pPr>
        <w:pStyle w:val="Heading1"/>
        <w:spacing w:after="240"/>
        <w:jc w:val="left"/>
        <w:rPr>
          <w:rFonts w:ascii="Arial Black" w:hAnsi="Arial Black" w:cs="Arial"/>
          <w:b/>
          <w:bCs/>
          <w:i w:val="0"/>
          <w:color w:val="4F81BD" w:themeColor="accent1"/>
          <w:sz w:val="28"/>
        </w:rPr>
      </w:pPr>
    </w:p>
    <w:p w:rsidR="00C522AD" w:rsidRPr="00086CC3" w:rsidRDefault="00C522AD" w:rsidP="00E40312">
      <w:pPr>
        <w:pStyle w:val="Heading1"/>
        <w:spacing w:after="120"/>
        <w:jc w:val="left"/>
        <w:rPr>
          <w:rFonts w:ascii="Arial Black" w:hAnsi="Arial Black" w:cs="Arial"/>
          <w:b/>
          <w:bCs/>
          <w:i w:val="0"/>
          <w:color w:val="1F497D" w:themeColor="text2"/>
          <w:sz w:val="28"/>
        </w:rPr>
      </w:pPr>
      <w:r w:rsidRPr="00086CC3">
        <w:rPr>
          <w:rFonts w:ascii="Arial Black" w:hAnsi="Arial Black" w:cs="Arial"/>
          <w:b/>
          <w:bCs/>
          <w:i w:val="0"/>
          <w:color w:val="1F497D" w:themeColor="text2"/>
          <w:sz w:val="28"/>
        </w:rPr>
        <w:t>Energy</w:t>
      </w:r>
    </w:p>
    <w:p w:rsidR="0009202F" w:rsidRPr="00A25952" w:rsidRDefault="006C79BD" w:rsidP="00325A6A">
      <w:pPr>
        <w:pStyle w:val="BodyTextNoIndent"/>
        <w:spacing w:line="288" w:lineRule="auto"/>
        <w:ind w:firstLine="720"/>
        <w:rPr>
          <w:sz w:val="22"/>
          <w:szCs w:val="22"/>
        </w:rPr>
      </w:pPr>
      <w:r w:rsidRPr="00956DCD">
        <w:rPr>
          <w:szCs w:val="22"/>
        </w:rPr>
        <w:t>ORA represents approximately 80 percent of California’s energy customers with an emphasis on residential and small business customers. ORA evaluates utility and other stakeholder proposals for both electricity and natural gas in the areas of Customer Rates, Procurement, Renewables, Climate Initiatives, Distributed Energy Resources, Transmission and Distribution, and Consumer Protection. ORA</w:t>
      </w:r>
      <w:r w:rsidR="00587BFE">
        <w:rPr>
          <w:szCs w:val="22"/>
        </w:rPr>
        <w:t xml:space="preserve"> reviewed u</w:t>
      </w:r>
      <w:r w:rsidRPr="00956DCD">
        <w:rPr>
          <w:szCs w:val="22"/>
        </w:rPr>
        <w:t xml:space="preserve">tility proposals for accountability and keeping rates affordable, while supporting California’s energy goals and promoting the safety and reliability of the state’s energy infrastructure. ORA scrutinized the requests of California’s investor owned utilities seeking to significantly </w:t>
      </w:r>
      <w:r w:rsidR="00587BFE">
        <w:rPr>
          <w:szCs w:val="22"/>
        </w:rPr>
        <w:t>increase customer rates. In 2015</w:t>
      </w:r>
      <w:r w:rsidRPr="00956DCD">
        <w:rPr>
          <w:szCs w:val="22"/>
        </w:rPr>
        <w:t xml:space="preserve">, ORA reviewed utility requests </w:t>
      </w:r>
      <w:r w:rsidR="00911ABF">
        <w:rPr>
          <w:szCs w:val="22"/>
        </w:rPr>
        <w:t>related to</w:t>
      </w:r>
      <w:r w:rsidRPr="00956DCD">
        <w:rPr>
          <w:szCs w:val="22"/>
        </w:rPr>
        <w:t xml:space="preserve"> energy revenue increases and programs that totaled more than </w:t>
      </w:r>
      <w:r w:rsidRPr="00446608">
        <w:rPr>
          <w:szCs w:val="22"/>
        </w:rPr>
        <w:t>$</w:t>
      </w:r>
      <w:r w:rsidR="008F41A1" w:rsidRPr="00446608">
        <w:rPr>
          <w:szCs w:val="22"/>
        </w:rPr>
        <w:t>9</w:t>
      </w:r>
      <w:r w:rsidR="00446608" w:rsidRPr="00446608">
        <w:rPr>
          <w:szCs w:val="22"/>
        </w:rPr>
        <w:t>6</w:t>
      </w:r>
      <w:r w:rsidRPr="00446608">
        <w:rPr>
          <w:szCs w:val="22"/>
        </w:rPr>
        <w:t xml:space="preserve"> billion</w:t>
      </w:r>
      <w:r w:rsidRPr="00956DCD">
        <w:rPr>
          <w:szCs w:val="22"/>
        </w:rPr>
        <w:t xml:space="preserve"> statewide. ORA’s advocacy efforts on energy issues aided in saving ratepayers approximately $5.</w:t>
      </w:r>
      <w:r w:rsidR="00E379A1">
        <w:rPr>
          <w:szCs w:val="22"/>
        </w:rPr>
        <w:t>3</w:t>
      </w:r>
      <w:r w:rsidRPr="00956DCD">
        <w:rPr>
          <w:szCs w:val="22"/>
        </w:rPr>
        <w:t xml:space="preserve"> billion. </w:t>
      </w:r>
    </w:p>
    <w:p w:rsidR="006C79BD" w:rsidRDefault="006C79BD" w:rsidP="006C79BD">
      <w:pPr>
        <w:pStyle w:val="GreyHeading2StyleGroup1"/>
        <w:spacing w:line="288" w:lineRule="auto"/>
        <w:rPr>
          <w:color w:val="4F81BD" w:themeColor="accent1"/>
          <w:sz w:val="22"/>
          <w:szCs w:val="22"/>
        </w:rPr>
      </w:pPr>
    </w:p>
    <w:p w:rsidR="006C79BD" w:rsidRPr="00AB36D8" w:rsidRDefault="006C79BD" w:rsidP="00E40312">
      <w:pPr>
        <w:pStyle w:val="GreyHeading2StyleGroup1"/>
        <w:spacing w:line="240" w:lineRule="auto"/>
        <w:jc w:val="left"/>
        <w:rPr>
          <w:rFonts w:ascii="Arial Black" w:hAnsi="Arial Black"/>
          <w:color w:val="4F81BD" w:themeColor="accent1"/>
          <w:sz w:val="22"/>
          <w:szCs w:val="22"/>
        </w:rPr>
      </w:pPr>
      <w:r w:rsidRPr="00AB36D8">
        <w:rPr>
          <w:rFonts w:ascii="Arial Black" w:hAnsi="Arial Black"/>
          <w:color w:val="4F81BD" w:themeColor="accent1"/>
          <w:sz w:val="22"/>
          <w:szCs w:val="22"/>
        </w:rPr>
        <w:t>Pacific Gas and Electric Company (PG&amp;E)</w:t>
      </w:r>
    </w:p>
    <w:p w:rsidR="006C79BD" w:rsidRPr="00956DCD" w:rsidRDefault="006C79BD" w:rsidP="006C79BD">
      <w:pPr>
        <w:pStyle w:val="BodyTextwithIndent"/>
        <w:spacing w:line="288" w:lineRule="auto"/>
        <w:ind w:firstLine="0"/>
        <w:rPr>
          <w:rFonts w:ascii="Arial Black" w:hAnsi="Arial Black"/>
          <w:b/>
          <w:szCs w:val="22"/>
        </w:rPr>
      </w:pPr>
      <w:r w:rsidRPr="00956DCD">
        <w:rPr>
          <w:rFonts w:ascii="Arial Black" w:hAnsi="Arial Black"/>
          <w:b/>
          <w:szCs w:val="22"/>
        </w:rPr>
        <w:t>San Bruno Investigation</w:t>
      </w:r>
    </w:p>
    <w:p w:rsidR="00325A6A" w:rsidRPr="00956DCD" w:rsidRDefault="006C79BD" w:rsidP="00956DCD">
      <w:pPr>
        <w:pStyle w:val="BodyTextwithIndent"/>
        <w:spacing w:line="288" w:lineRule="auto"/>
        <w:rPr>
          <w:rFonts w:ascii="Arial Black" w:eastAsia="Times New Roman" w:hAnsi="Arial Black"/>
          <w:b/>
          <w:color w:val="auto"/>
          <w:szCs w:val="22"/>
        </w:rPr>
      </w:pPr>
      <w:r w:rsidRPr="00956DCD">
        <w:rPr>
          <w:szCs w:val="22"/>
        </w:rPr>
        <w:t>ORA participated in the CPUC’s San Bruno investigation to address what penalties should be determined for PG&amp;E’s role in the 2010 natural gas explosion.</w:t>
      </w:r>
      <w:r w:rsidRPr="00956DCD">
        <w:rPr>
          <w:color w:val="505050"/>
          <w:szCs w:val="22"/>
        </w:rPr>
        <w:t> </w:t>
      </w:r>
      <w:r w:rsidRPr="00956DCD">
        <w:rPr>
          <w:color w:val="auto"/>
          <w:szCs w:val="22"/>
        </w:rPr>
        <w:t>The CPUC</w:t>
      </w:r>
      <w:r w:rsidR="00E379A1">
        <w:rPr>
          <w:color w:val="auto"/>
          <w:szCs w:val="22"/>
        </w:rPr>
        <w:t>’s</w:t>
      </w:r>
      <w:r w:rsidRPr="00956DCD">
        <w:rPr>
          <w:color w:val="auto"/>
          <w:szCs w:val="22"/>
        </w:rPr>
        <w:t xml:space="preserve"> decision to penalize PG&amp;E $1.6 billion largely comports with ORA’s recommendation that a majority of the PG&amp;E penalty be used to p</w:t>
      </w:r>
      <w:r w:rsidRPr="00956DCD">
        <w:rPr>
          <w:rFonts w:eastAsia="Times New Roman"/>
          <w:color w:val="auto"/>
          <w:szCs w:val="22"/>
        </w:rPr>
        <w:t xml:space="preserve">ay the costs of pipeline safety upgrades, yet require a sufficiently significant fine to incent PG&amp;E to keep its pipelines safe. Customers will see compensation in the form of a bill credit in February 2016.  </w:t>
      </w:r>
    </w:p>
    <w:p w:rsidR="006C79BD" w:rsidRPr="00956DCD" w:rsidRDefault="006C79BD" w:rsidP="00325A6A">
      <w:pPr>
        <w:pStyle w:val="BodyTextwithIndent"/>
        <w:spacing w:line="288" w:lineRule="auto"/>
        <w:ind w:firstLine="0"/>
        <w:jc w:val="left"/>
        <w:rPr>
          <w:rFonts w:ascii="Arial Black" w:hAnsi="Arial Black"/>
          <w:b/>
          <w:szCs w:val="22"/>
        </w:rPr>
      </w:pPr>
      <w:r w:rsidRPr="00956DCD">
        <w:rPr>
          <w:rFonts w:ascii="Arial Black" w:eastAsia="Times New Roman" w:hAnsi="Arial Black"/>
          <w:b/>
          <w:color w:val="auto"/>
          <w:szCs w:val="22"/>
        </w:rPr>
        <w:t>Natural Gas: Transmission &amp; Storage</w:t>
      </w:r>
    </w:p>
    <w:p w:rsidR="006C79BD" w:rsidRPr="00956DCD" w:rsidRDefault="00B47758">
      <w:pPr>
        <w:pStyle w:val="BodyTextwithIndent"/>
        <w:spacing w:after="240" w:line="288" w:lineRule="auto"/>
        <w:ind w:firstLine="0"/>
        <w:rPr>
          <w:b/>
          <w:color w:val="auto"/>
        </w:rPr>
      </w:pPr>
      <w:r w:rsidRPr="00956DCD">
        <w:rPr>
          <w:szCs w:val="22"/>
        </w:rPr>
        <w:t xml:space="preserve">ORA </w:t>
      </w:r>
      <w:r>
        <w:rPr>
          <w:szCs w:val="22"/>
        </w:rPr>
        <w:t xml:space="preserve">analyzed </w:t>
      </w:r>
      <w:r w:rsidRPr="00956DCD">
        <w:rPr>
          <w:szCs w:val="22"/>
        </w:rPr>
        <w:t xml:space="preserve">PG&amp;E’s request to increase its revenue requirement by $2 billion dollars for Gas Transmission </w:t>
      </w:r>
      <w:r>
        <w:rPr>
          <w:szCs w:val="22"/>
        </w:rPr>
        <w:br/>
      </w:r>
      <w:r w:rsidRPr="00956DCD">
        <w:rPr>
          <w:szCs w:val="22"/>
        </w:rPr>
        <w:t>and Storage, including plans for pipeline</w:t>
      </w:r>
      <w:r>
        <w:rPr>
          <w:szCs w:val="22"/>
        </w:rPr>
        <w:t xml:space="preserve"> </w:t>
      </w:r>
      <w:r w:rsidRPr="00956DCD">
        <w:rPr>
          <w:szCs w:val="22"/>
        </w:rPr>
        <w:t xml:space="preserve">upgrades </w:t>
      </w:r>
      <w:r>
        <w:rPr>
          <w:szCs w:val="22"/>
        </w:rPr>
        <w:br/>
      </w:r>
      <w:r>
        <w:rPr>
          <w:szCs w:val="22"/>
        </w:rPr>
        <w:br/>
      </w:r>
      <w:r w:rsidR="003D4D3D">
        <w:rPr>
          <w:szCs w:val="22"/>
        </w:rPr>
        <w:lastRenderedPageBreak/>
        <w:br/>
      </w:r>
      <w:r w:rsidRPr="00956DCD">
        <w:rPr>
          <w:szCs w:val="22"/>
        </w:rPr>
        <w:t xml:space="preserve">between 2015 </w:t>
      </w:r>
      <w:r>
        <w:rPr>
          <w:szCs w:val="22"/>
        </w:rPr>
        <w:t>and</w:t>
      </w:r>
      <w:r w:rsidRPr="00956DCD">
        <w:rPr>
          <w:szCs w:val="22"/>
        </w:rPr>
        <w:t xml:space="preserve"> 2017. </w:t>
      </w:r>
      <w:r w:rsidR="006C79BD" w:rsidRPr="00956DCD">
        <w:rPr>
          <w:szCs w:val="22"/>
        </w:rPr>
        <w:t xml:space="preserve">ORA’s analysis shows that PG&amp;E only needs half of its requested increase to safely and reliably operate its natural gas system. ORA’s examination found that PG&amp;E over-estimated </w:t>
      </w:r>
      <w:r w:rsidR="006C79BD" w:rsidRPr="00956DCD">
        <w:t xml:space="preserve">costs of pipeline pressure testing and the vintage pipeline replacement program, system expansions (primarily in the San Joaquin Valley), and corrosion control and mitigation efforts. The proceeding was delayed into 2015 in order for the CPUC to investigate PG&amp;E’s inappropriate communications with CPUC decision-makers, and resumed with hearings in February and March 2015. A proposed decision </w:t>
      </w:r>
      <w:r w:rsidR="00665BA2">
        <w:t>has not yet been issued</w:t>
      </w:r>
      <w:r w:rsidR="006C79BD" w:rsidRPr="00956DCD">
        <w:t xml:space="preserve">. </w:t>
      </w:r>
    </w:p>
    <w:p w:rsidR="006C79BD" w:rsidRPr="00956DCD" w:rsidRDefault="006C79BD" w:rsidP="006C79BD">
      <w:pPr>
        <w:pStyle w:val="BodyTextNoIndent"/>
        <w:spacing w:line="288" w:lineRule="auto"/>
        <w:rPr>
          <w:rFonts w:ascii="Arial Black" w:hAnsi="Arial Black"/>
          <w:b/>
          <w:color w:val="auto"/>
        </w:rPr>
      </w:pPr>
      <w:r w:rsidRPr="00956DCD">
        <w:rPr>
          <w:rFonts w:ascii="Arial Black" w:hAnsi="Arial Black"/>
          <w:b/>
          <w:color w:val="auto"/>
        </w:rPr>
        <w:t>2017 PG&amp;E General Rate Case</w:t>
      </w:r>
    </w:p>
    <w:p w:rsidR="006C79BD" w:rsidRDefault="00781057" w:rsidP="00781057">
      <w:pPr>
        <w:pStyle w:val="BodyTextNoIndent"/>
        <w:spacing w:line="288" w:lineRule="auto"/>
        <w:ind w:firstLine="720"/>
        <w:rPr>
          <w:color w:val="auto"/>
        </w:rPr>
      </w:pPr>
      <w:r>
        <w:rPr>
          <w:color w:val="auto"/>
        </w:rPr>
        <w:t>ORA is currently conducting an in-depth review and analysis of PG&amp;E's request to increase its revenue requirement from a current level of $7.92 billion to $8.4 billion in 2017, $8.9 billion in 2018, and $9.3 billion in 2019. PG&amp;E’s request amounts to a 3-year cumulative increase of $2.74 billion in revenues. ORA expects to submit its full analysis via testimony in April 2016.</w:t>
      </w:r>
    </w:p>
    <w:p w:rsidR="002D6B09" w:rsidRPr="002D6B09" w:rsidRDefault="002D6B09" w:rsidP="002D6B09">
      <w:pPr>
        <w:pStyle w:val="BodyTextNoIndent"/>
        <w:spacing w:line="288" w:lineRule="auto"/>
        <w:ind w:firstLine="720"/>
        <w:rPr>
          <w:color w:val="auto"/>
        </w:rPr>
      </w:pPr>
    </w:p>
    <w:p w:rsidR="006C79BD" w:rsidRPr="00C67797" w:rsidRDefault="006C79BD" w:rsidP="00E40312">
      <w:pPr>
        <w:pStyle w:val="GreyHeading2StyleGroup1"/>
        <w:spacing w:line="240" w:lineRule="auto"/>
        <w:jc w:val="left"/>
        <w:rPr>
          <w:rFonts w:ascii="Arial Black" w:hAnsi="Arial Black"/>
          <w:color w:val="4F81BD" w:themeColor="accent1"/>
          <w:sz w:val="22"/>
        </w:rPr>
      </w:pPr>
      <w:r w:rsidRPr="00C67797">
        <w:rPr>
          <w:rFonts w:ascii="Arial Black" w:hAnsi="Arial Black"/>
          <w:color w:val="4F81BD" w:themeColor="accent1"/>
          <w:sz w:val="22"/>
        </w:rPr>
        <w:t xml:space="preserve">Southern California Edison Company </w:t>
      </w:r>
      <w:r w:rsidR="00AB36D8" w:rsidRPr="00C67797">
        <w:rPr>
          <w:rFonts w:ascii="Arial Black" w:hAnsi="Arial Black"/>
          <w:color w:val="4F81BD" w:themeColor="accent1"/>
          <w:sz w:val="22"/>
        </w:rPr>
        <w:t>(</w:t>
      </w:r>
      <w:r w:rsidRPr="00C67797">
        <w:rPr>
          <w:rFonts w:ascii="Arial Black" w:hAnsi="Arial Black"/>
          <w:color w:val="4F81BD" w:themeColor="accent1"/>
          <w:sz w:val="22"/>
        </w:rPr>
        <w:t>Edison)</w:t>
      </w:r>
    </w:p>
    <w:p w:rsidR="006C79BD" w:rsidRPr="00956DCD" w:rsidRDefault="006C79BD" w:rsidP="006C79BD">
      <w:pPr>
        <w:spacing w:after="120" w:line="288" w:lineRule="auto"/>
        <w:rPr>
          <w:rFonts w:ascii="Arial Black" w:hAnsi="Arial Black" w:cs="Arial"/>
          <w:sz w:val="20"/>
          <w:szCs w:val="20"/>
        </w:rPr>
      </w:pPr>
      <w:r w:rsidRPr="00956DCD">
        <w:rPr>
          <w:rFonts w:ascii="Arial Black" w:hAnsi="Arial Black" w:cs="Arial"/>
          <w:b/>
          <w:sz w:val="20"/>
          <w:szCs w:val="20"/>
        </w:rPr>
        <w:t>2015 Edison General Rate Case</w:t>
      </w:r>
    </w:p>
    <w:p w:rsidR="006C79BD" w:rsidRPr="00956DCD" w:rsidRDefault="006C79BD" w:rsidP="00911ABF">
      <w:pPr>
        <w:spacing w:after="120" w:line="288" w:lineRule="auto"/>
        <w:jc w:val="both"/>
        <w:rPr>
          <w:rFonts w:ascii="Arial" w:hAnsi="Arial" w:cs="Arial"/>
          <w:sz w:val="20"/>
          <w:szCs w:val="20"/>
        </w:rPr>
      </w:pPr>
      <w:r w:rsidRPr="00956DCD">
        <w:rPr>
          <w:rFonts w:ascii="Arial" w:hAnsi="Arial" w:cs="Arial"/>
          <w:sz w:val="20"/>
          <w:szCs w:val="20"/>
        </w:rPr>
        <w:t xml:space="preserve">ORA performed an in-depth analysis of Edison’s </w:t>
      </w:r>
      <w:r w:rsidR="008F41A1">
        <w:rPr>
          <w:rFonts w:ascii="Arial" w:hAnsi="Arial" w:cs="Arial"/>
          <w:sz w:val="20"/>
          <w:szCs w:val="20"/>
        </w:rPr>
        <w:t xml:space="preserve">initial </w:t>
      </w:r>
      <w:r w:rsidRPr="00956DCD">
        <w:rPr>
          <w:rFonts w:ascii="Arial" w:hAnsi="Arial" w:cs="Arial"/>
          <w:sz w:val="20"/>
          <w:szCs w:val="20"/>
        </w:rPr>
        <w:t>request to cumulatively increase its revenue by $1.65 billion for 2015 – 2017. ORA’s detailed review found that Edison over-estimated its capital costs for transmission and distribution, and information technology costs. ORA recommended that the CPUC should instead</w:t>
      </w:r>
      <w:r w:rsidRPr="00956DCD">
        <w:rPr>
          <w:rFonts w:ascii="Arial" w:hAnsi="Arial" w:cs="Arial"/>
          <w:i/>
          <w:sz w:val="20"/>
          <w:szCs w:val="20"/>
        </w:rPr>
        <w:t xml:space="preserve"> decrease</w:t>
      </w:r>
      <w:r w:rsidRPr="00956DCD">
        <w:rPr>
          <w:rFonts w:ascii="Arial" w:hAnsi="Arial" w:cs="Arial"/>
          <w:sz w:val="20"/>
          <w:szCs w:val="20"/>
        </w:rPr>
        <w:t xml:space="preserve"> </w:t>
      </w:r>
      <w:r w:rsidR="00B47758" w:rsidRPr="00956DCD">
        <w:rPr>
          <w:rFonts w:ascii="Arial" w:hAnsi="Arial" w:cs="Arial"/>
          <w:sz w:val="20"/>
          <w:szCs w:val="20"/>
        </w:rPr>
        <w:t>Edison’s</w:t>
      </w:r>
      <w:r w:rsidRPr="00956DCD">
        <w:rPr>
          <w:rFonts w:ascii="Arial" w:hAnsi="Arial" w:cs="Arial"/>
          <w:sz w:val="20"/>
          <w:szCs w:val="20"/>
        </w:rPr>
        <w:t xml:space="preserve"> </w:t>
      </w:r>
      <w:r w:rsidRPr="008C098D">
        <w:rPr>
          <w:rFonts w:ascii="Arial" w:hAnsi="Arial" w:cs="Arial"/>
          <w:sz w:val="20"/>
          <w:szCs w:val="20"/>
        </w:rPr>
        <w:t>revenue requirement</w:t>
      </w:r>
      <w:r w:rsidR="008F41A1">
        <w:rPr>
          <w:rFonts w:ascii="Arial" w:hAnsi="Arial" w:cs="Arial"/>
          <w:sz w:val="20"/>
          <w:szCs w:val="20"/>
        </w:rPr>
        <w:t xml:space="preserve"> by $1.1 b</w:t>
      </w:r>
      <w:r w:rsidRPr="00956DCD">
        <w:rPr>
          <w:rFonts w:ascii="Arial" w:hAnsi="Arial" w:cs="Arial"/>
          <w:sz w:val="20"/>
          <w:szCs w:val="20"/>
        </w:rPr>
        <w:t xml:space="preserve">illion for 2015 - 2017. Pursuant to ORA issuing its recommendation, Edison reduced its proposed increase to $841 million - or 12.4%. The CPUC ultimately approved a </w:t>
      </w:r>
      <w:r w:rsidR="008F41A1">
        <w:rPr>
          <w:rFonts w:ascii="Arial" w:hAnsi="Arial" w:cs="Arial"/>
          <w:sz w:val="20"/>
          <w:szCs w:val="20"/>
        </w:rPr>
        <w:t>de</w:t>
      </w:r>
      <w:r w:rsidR="006F63D9" w:rsidRPr="00956DCD">
        <w:rPr>
          <w:rFonts w:ascii="Arial" w:hAnsi="Arial" w:cs="Arial"/>
          <w:sz w:val="20"/>
          <w:szCs w:val="20"/>
        </w:rPr>
        <w:t>crease of $663</w:t>
      </w:r>
      <w:r w:rsidRPr="00956DCD">
        <w:rPr>
          <w:rFonts w:ascii="Arial" w:hAnsi="Arial" w:cs="Arial"/>
          <w:sz w:val="20"/>
          <w:szCs w:val="20"/>
        </w:rPr>
        <w:t xml:space="preserve"> million for 2015 – 2017, which is closer to ORA’s recommendation. ORA estima</w:t>
      </w:r>
      <w:r w:rsidR="006F63D9" w:rsidRPr="00956DCD">
        <w:rPr>
          <w:rFonts w:ascii="Arial" w:hAnsi="Arial" w:cs="Arial"/>
          <w:sz w:val="20"/>
          <w:szCs w:val="20"/>
        </w:rPr>
        <w:t>tes that customers will save about</w:t>
      </w:r>
      <w:r w:rsidR="006F63D9" w:rsidRPr="00956DCD">
        <w:rPr>
          <w:b/>
          <w:bCs/>
          <w:color w:val="1F497D"/>
          <w:sz w:val="20"/>
          <w:szCs w:val="20"/>
        </w:rPr>
        <w:t xml:space="preserve"> </w:t>
      </w:r>
      <w:r w:rsidR="006F63D9" w:rsidRPr="00956DCD">
        <w:rPr>
          <w:rFonts w:ascii="Arial" w:hAnsi="Arial" w:cs="Arial"/>
          <w:bCs/>
          <w:sz w:val="20"/>
          <w:szCs w:val="20"/>
        </w:rPr>
        <w:t>$2.3</w:t>
      </w:r>
      <w:r w:rsidR="006F63D9" w:rsidRPr="00956DCD">
        <w:rPr>
          <w:b/>
          <w:bCs/>
          <w:sz w:val="20"/>
          <w:szCs w:val="20"/>
        </w:rPr>
        <w:t xml:space="preserve"> </w:t>
      </w:r>
      <w:r w:rsidRPr="00956DCD">
        <w:rPr>
          <w:rFonts w:ascii="Arial" w:hAnsi="Arial" w:cs="Arial"/>
          <w:sz w:val="20"/>
          <w:szCs w:val="20"/>
        </w:rPr>
        <w:t>billion, compared with Edison’s initial proposal. Edison’s total revenue requirement will decrease by 4% for 2015 – 2017 from its previous cycle, which will provide Edison with sufficient funds to operate its system safely and reliably, including continuation of pole replacement projects. The CPUC decision reflects ORA’s recommendations regarding</w:t>
      </w:r>
      <w:r w:rsidR="0074749D">
        <w:rPr>
          <w:rFonts w:ascii="Arial" w:hAnsi="Arial" w:cs="Arial"/>
          <w:sz w:val="20"/>
          <w:szCs w:val="20"/>
        </w:rPr>
        <w:t xml:space="preserve"> </w:t>
      </w:r>
      <w:r w:rsidR="00B654C6">
        <w:rPr>
          <w:rFonts w:ascii="Arial" w:hAnsi="Arial" w:cs="Arial"/>
          <w:sz w:val="20"/>
          <w:szCs w:val="20"/>
        </w:rPr>
        <w:br/>
      </w:r>
      <w:r w:rsidR="008F41A1">
        <w:rPr>
          <w:rFonts w:ascii="Arial" w:hAnsi="Arial" w:cs="Arial"/>
          <w:sz w:val="20"/>
          <w:szCs w:val="20"/>
        </w:rPr>
        <w:t xml:space="preserve">more reasonable </w:t>
      </w:r>
      <w:r w:rsidR="008F41A1" w:rsidRPr="008F41A1">
        <w:rPr>
          <w:rFonts w:ascii="Arial" w:hAnsi="Arial" w:cs="Arial"/>
          <w:sz w:val="20"/>
          <w:szCs w:val="20"/>
        </w:rPr>
        <w:t>t</w:t>
      </w:r>
      <w:r w:rsidRPr="008F41A1">
        <w:rPr>
          <w:rFonts w:ascii="Arial" w:hAnsi="Arial" w:cs="Arial"/>
          <w:sz w:val="20"/>
          <w:szCs w:val="20"/>
        </w:rPr>
        <w:t>iming</w:t>
      </w:r>
      <w:r w:rsidRPr="00956DCD">
        <w:rPr>
          <w:rFonts w:ascii="Arial" w:hAnsi="Arial" w:cs="Arial"/>
          <w:sz w:val="20"/>
          <w:szCs w:val="20"/>
        </w:rPr>
        <w:t xml:space="preserve"> of expenditures for </w:t>
      </w:r>
      <w:r w:rsidR="00E40312">
        <w:rPr>
          <w:rFonts w:ascii="Arial" w:hAnsi="Arial" w:cs="Arial"/>
          <w:sz w:val="20"/>
          <w:szCs w:val="20"/>
        </w:rPr>
        <w:br/>
      </w:r>
      <w:r w:rsidR="009227F5">
        <w:rPr>
          <w:rFonts w:ascii="Arial" w:hAnsi="Arial" w:cs="Arial"/>
          <w:sz w:val="20"/>
          <w:szCs w:val="20"/>
        </w:rPr>
        <w:lastRenderedPageBreak/>
        <w:br/>
      </w:r>
      <w:r w:rsidRPr="00956DCD">
        <w:rPr>
          <w:rFonts w:ascii="Arial" w:hAnsi="Arial" w:cs="Arial"/>
          <w:sz w:val="20"/>
          <w:szCs w:val="20"/>
        </w:rPr>
        <w:t>deteriorated pole replac</w:t>
      </w:r>
      <w:r w:rsidR="00911ABF">
        <w:rPr>
          <w:rFonts w:ascii="Arial" w:hAnsi="Arial" w:cs="Arial"/>
          <w:sz w:val="20"/>
          <w:szCs w:val="20"/>
        </w:rPr>
        <w:t>ements and overloaded poles, as well as</w:t>
      </w:r>
      <w:r w:rsidRPr="00956DCD">
        <w:rPr>
          <w:rFonts w:ascii="Arial" w:hAnsi="Arial" w:cs="Arial"/>
          <w:sz w:val="20"/>
          <w:szCs w:val="20"/>
        </w:rPr>
        <w:t xml:space="preserve"> reduced ratepayer funding for executive and short-term incentive compensation. </w:t>
      </w:r>
    </w:p>
    <w:p w:rsidR="009227F5" w:rsidRDefault="006C79BD" w:rsidP="009227F5">
      <w:pPr>
        <w:spacing w:after="120" w:line="288" w:lineRule="auto"/>
        <w:ind w:firstLine="720"/>
        <w:jc w:val="both"/>
        <w:rPr>
          <w:rFonts w:ascii="Arial" w:hAnsi="Arial" w:cs="Arial"/>
          <w:color w:val="000000" w:themeColor="text1"/>
          <w:sz w:val="20"/>
          <w:szCs w:val="20"/>
        </w:rPr>
      </w:pPr>
      <w:r w:rsidRPr="00956DCD">
        <w:rPr>
          <w:rFonts w:ascii="Arial" w:hAnsi="Arial" w:cs="Arial"/>
          <w:color w:val="000000" w:themeColor="text1"/>
          <w:sz w:val="20"/>
          <w:szCs w:val="20"/>
        </w:rPr>
        <w:t>ORA opposed Edison’s proposal to establish separate baseline allowances for all-electric single-family and multi-family homes given that multi-family customers, who tend to be lower energy users, are likely to be impacted by severe cumulative bill impacts due to residential rate reforms. ORA supports Edison’s proposed delay in the transition date for defaulting small business customers to Critical Peak Pricing (“CPP”) rates to ensure that Edison is able to provide adequate information</w:t>
      </w:r>
      <w:r w:rsidR="00911ABF">
        <w:rPr>
          <w:rFonts w:ascii="Arial" w:hAnsi="Arial" w:cs="Arial"/>
          <w:color w:val="000000" w:themeColor="text1"/>
          <w:sz w:val="20"/>
          <w:szCs w:val="20"/>
        </w:rPr>
        <w:t xml:space="preserve"> to customers</w:t>
      </w:r>
      <w:r w:rsidRPr="00956DCD">
        <w:rPr>
          <w:rFonts w:ascii="Arial" w:hAnsi="Arial" w:cs="Arial"/>
          <w:color w:val="000000" w:themeColor="text1"/>
          <w:sz w:val="20"/>
          <w:szCs w:val="20"/>
        </w:rPr>
        <w:t xml:space="preserve"> about how these new rates may increase utility bills</w:t>
      </w:r>
      <w:r w:rsidR="00911ABF">
        <w:rPr>
          <w:rFonts w:ascii="Arial" w:hAnsi="Arial" w:cs="Arial"/>
          <w:color w:val="000000" w:themeColor="text1"/>
          <w:sz w:val="20"/>
          <w:szCs w:val="20"/>
        </w:rPr>
        <w:t>,</w:t>
      </w:r>
      <w:r w:rsidRPr="00956DCD">
        <w:rPr>
          <w:rFonts w:ascii="Arial" w:hAnsi="Arial" w:cs="Arial"/>
          <w:color w:val="000000" w:themeColor="text1"/>
          <w:sz w:val="20"/>
          <w:szCs w:val="20"/>
        </w:rPr>
        <w:t xml:space="preserve"> as a result of times when the electrical system is under extreme stress. ORA participated in an all-party settlement agreement which would retain the </w:t>
      </w:r>
      <w:r w:rsidRPr="007E1571">
        <w:rPr>
          <w:rFonts w:ascii="Arial" w:hAnsi="Arial" w:cs="Arial"/>
          <w:color w:val="000000" w:themeColor="text1"/>
          <w:sz w:val="20"/>
          <w:szCs w:val="20"/>
        </w:rPr>
        <w:t>same</w:t>
      </w:r>
      <w:r w:rsidRPr="00956DCD">
        <w:rPr>
          <w:rFonts w:ascii="Arial" w:hAnsi="Arial" w:cs="Arial"/>
          <w:color w:val="000000" w:themeColor="text1"/>
          <w:sz w:val="20"/>
          <w:szCs w:val="20"/>
        </w:rPr>
        <w:t xml:space="preserve"> baseline allowance for single</w:t>
      </w:r>
      <w:r w:rsidR="007E1571">
        <w:rPr>
          <w:rFonts w:ascii="Arial" w:hAnsi="Arial" w:cs="Arial"/>
          <w:color w:val="000000" w:themeColor="text1"/>
          <w:sz w:val="20"/>
          <w:szCs w:val="20"/>
        </w:rPr>
        <w:t>-family customers as for</w:t>
      </w:r>
      <w:r w:rsidRPr="00956DCD">
        <w:rPr>
          <w:rFonts w:ascii="Arial" w:hAnsi="Arial" w:cs="Arial"/>
          <w:color w:val="000000" w:themeColor="text1"/>
          <w:sz w:val="20"/>
          <w:szCs w:val="20"/>
        </w:rPr>
        <w:t xml:space="preserve"> multi-family customers, which will prevent bill increases for apartment dwellers at a time when these customers face steep bill increases from residential rate redesign. The settlement is pending before the CPUC.</w:t>
      </w:r>
    </w:p>
    <w:p w:rsidR="006C79BD" w:rsidRPr="00956DCD" w:rsidRDefault="006C79BD" w:rsidP="009227F5">
      <w:pPr>
        <w:spacing w:after="240" w:line="288" w:lineRule="auto"/>
        <w:rPr>
          <w:rFonts w:ascii="Arial Black" w:hAnsi="Arial Black"/>
          <w:b/>
        </w:rPr>
      </w:pPr>
      <w:r w:rsidRPr="00956DCD">
        <w:rPr>
          <w:rFonts w:ascii="Arial Black" w:hAnsi="Arial Black"/>
          <w:b/>
        </w:rPr>
        <w:t>S</w:t>
      </w:r>
      <w:r w:rsidR="0074749D">
        <w:rPr>
          <w:rFonts w:ascii="Arial Black" w:hAnsi="Arial Black"/>
          <w:b/>
        </w:rPr>
        <w:t xml:space="preserve">an </w:t>
      </w:r>
      <w:r w:rsidRPr="00956DCD">
        <w:rPr>
          <w:rFonts w:ascii="Arial Black" w:hAnsi="Arial Black"/>
          <w:b/>
        </w:rPr>
        <w:t>O</w:t>
      </w:r>
      <w:r w:rsidR="0074749D">
        <w:rPr>
          <w:rFonts w:ascii="Arial Black" w:hAnsi="Arial Black"/>
          <w:b/>
        </w:rPr>
        <w:t xml:space="preserve">nofre </w:t>
      </w:r>
      <w:r w:rsidRPr="00956DCD">
        <w:rPr>
          <w:rFonts w:ascii="Arial Black" w:hAnsi="Arial Black"/>
          <w:b/>
        </w:rPr>
        <w:t>N</w:t>
      </w:r>
      <w:r w:rsidR="0074749D">
        <w:rPr>
          <w:rFonts w:ascii="Arial Black" w:hAnsi="Arial Black"/>
          <w:b/>
        </w:rPr>
        <w:t xml:space="preserve">uclear </w:t>
      </w:r>
      <w:r w:rsidRPr="00956DCD">
        <w:rPr>
          <w:rFonts w:ascii="Arial Black" w:hAnsi="Arial Black"/>
          <w:b/>
        </w:rPr>
        <w:t>G</w:t>
      </w:r>
      <w:r w:rsidR="0074749D">
        <w:rPr>
          <w:rFonts w:ascii="Arial Black" w:hAnsi="Arial Black"/>
          <w:b/>
        </w:rPr>
        <w:t xml:space="preserve">enerating </w:t>
      </w:r>
      <w:r w:rsidRPr="00956DCD">
        <w:rPr>
          <w:rFonts w:ascii="Arial Black" w:hAnsi="Arial Black"/>
          <w:b/>
        </w:rPr>
        <w:t>S</w:t>
      </w:r>
      <w:r w:rsidR="0074749D">
        <w:rPr>
          <w:rFonts w:ascii="Arial Black" w:hAnsi="Arial Black"/>
          <w:b/>
        </w:rPr>
        <w:t>tation</w:t>
      </w:r>
      <w:r w:rsidRPr="00956DCD">
        <w:rPr>
          <w:rFonts w:ascii="Arial Black" w:hAnsi="Arial Black"/>
          <w:b/>
        </w:rPr>
        <w:t xml:space="preserve"> </w:t>
      </w:r>
      <w:r w:rsidR="00E75978">
        <w:rPr>
          <w:rFonts w:ascii="Arial Black" w:hAnsi="Arial Black"/>
          <w:b/>
        </w:rPr>
        <w:t>(SONGS)</w:t>
      </w:r>
    </w:p>
    <w:p w:rsidR="002D6B09" w:rsidRDefault="006C79BD" w:rsidP="009227F5">
      <w:pPr>
        <w:pStyle w:val="BodyTextNoIndent"/>
        <w:spacing w:line="288" w:lineRule="auto"/>
        <w:ind w:firstLine="720"/>
      </w:pPr>
      <w:r w:rsidRPr="00956DCD">
        <w:rPr>
          <w:color w:val="auto"/>
        </w:rPr>
        <w:t>In April 2015, ORA’s director issued a public statement urging the CPUC to penalize Edison $648 million and return these funds to customers given the secret conversations between CPUC decision-makers and Edison executives that had violated the law. This illegal and unethical behavior undermined ORA’s ability to negotiate the best outcome on behalf of customers. The amount of the suggested penalty represents the difference between ORA’s initial litigation position, based on its analysis, and the CPUC’s final decision. ORA did not initially recommend scrapping the SONGS deal, in which customers realized significant relief, but instead sought a more simple solution to compensate customers. A significant penalty in the form of a refund would avoid the risk of protracted litigation where customers could be on the hook for additional costs. Given that the CPUC’s proposed decision chose not to appropriately penalize Edison for their deceptive behavior, ORA determined that it could no longer support the settlement agreement. In December 2015, the CPUC approved the proposed decision and penalized Edison $16.7 million for failure to report its</w:t>
      </w:r>
      <w:r w:rsidR="003D4D3D">
        <w:rPr>
          <w:color w:val="auto"/>
        </w:rPr>
        <w:t xml:space="preserve"> </w:t>
      </w:r>
      <w:r w:rsidR="009227F5">
        <w:rPr>
          <w:color w:val="auto"/>
        </w:rPr>
        <w:br/>
      </w:r>
      <w:r w:rsidR="009227F5">
        <w:rPr>
          <w:color w:val="auto"/>
        </w:rPr>
        <w:lastRenderedPageBreak/>
        <w:br/>
      </w:r>
      <w:r w:rsidRPr="00956DCD">
        <w:rPr>
          <w:color w:val="auto"/>
        </w:rPr>
        <w:t>ex parte communications in a timely manner, which will be paid to the state’s general fund.</w:t>
      </w:r>
    </w:p>
    <w:p w:rsidR="006C79BD" w:rsidRPr="00956DCD" w:rsidRDefault="006C79BD" w:rsidP="00720D4F">
      <w:pPr>
        <w:pStyle w:val="NormalWeb"/>
        <w:spacing w:after="120" w:line="288" w:lineRule="auto"/>
        <w:ind w:firstLine="720"/>
        <w:jc w:val="both"/>
        <w:rPr>
          <w:rFonts w:ascii="Arial" w:hAnsi="Arial" w:cs="Arial"/>
          <w:sz w:val="20"/>
          <w:szCs w:val="20"/>
        </w:rPr>
      </w:pPr>
      <w:r w:rsidRPr="00956DCD">
        <w:rPr>
          <w:rFonts w:ascii="Arial" w:hAnsi="Arial" w:cs="Arial"/>
          <w:sz w:val="20"/>
          <w:szCs w:val="20"/>
        </w:rPr>
        <w:t xml:space="preserve">In the wake of SONGS Units 2 and 3 closures, ORA performed an in-depth review of Edison and SDG&amp;E’s (a 20% minority owner) request for the CPUC to approve over $5 billion in decommissioning cost estimates. ORA </w:t>
      </w:r>
      <w:r w:rsidRPr="00086CC3">
        <w:rPr>
          <w:rFonts w:ascii="Arial" w:hAnsi="Arial" w:cs="Arial"/>
          <w:bCs/>
          <w:sz w:val="20"/>
          <w:szCs w:val="20"/>
        </w:rPr>
        <w:t>r</w:t>
      </w:r>
      <w:r w:rsidRPr="00956DCD">
        <w:rPr>
          <w:rFonts w:ascii="Arial" w:hAnsi="Arial" w:cs="Arial"/>
          <w:sz w:val="20"/>
          <w:szCs w:val="20"/>
        </w:rPr>
        <w:t xml:space="preserve">ecommended the CPUC require greater transparency of the utilities’ spending and reject Edison’s proposal to shift </w:t>
      </w:r>
      <w:r w:rsidR="007C1629">
        <w:rPr>
          <w:rFonts w:ascii="Arial" w:hAnsi="Arial" w:cs="Arial"/>
          <w:sz w:val="20"/>
          <w:szCs w:val="20"/>
        </w:rPr>
        <w:t>the burden of proof to interveno</w:t>
      </w:r>
      <w:r w:rsidRPr="00956DCD">
        <w:rPr>
          <w:rFonts w:ascii="Arial" w:hAnsi="Arial" w:cs="Arial"/>
          <w:sz w:val="20"/>
          <w:szCs w:val="20"/>
        </w:rPr>
        <w:t>rs for decommissioning costs</w:t>
      </w:r>
      <w:r w:rsidR="00486577">
        <w:rPr>
          <w:rFonts w:ascii="Arial" w:hAnsi="Arial" w:cs="Arial"/>
          <w:sz w:val="20"/>
          <w:szCs w:val="20"/>
        </w:rPr>
        <w:t>. The CPUC should instead</w:t>
      </w:r>
      <w:r w:rsidRPr="00956DCD">
        <w:rPr>
          <w:rFonts w:ascii="Arial" w:hAnsi="Arial" w:cs="Arial"/>
          <w:sz w:val="20"/>
          <w:szCs w:val="20"/>
        </w:rPr>
        <w:t xml:space="preserve"> continue its current process for decommissioning oversight.  Additionally, the CPUC should not make a final determination regarding the  reasonableness of Edison’s costs based solely on the utility’s estimates. A CPUC decision is expected in 2016.</w:t>
      </w:r>
    </w:p>
    <w:p w:rsidR="006C79BD" w:rsidRDefault="006C79BD" w:rsidP="0043063A">
      <w:pPr>
        <w:pStyle w:val="NormalWeb"/>
        <w:spacing w:line="288" w:lineRule="auto"/>
        <w:ind w:firstLine="720"/>
        <w:jc w:val="both"/>
      </w:pPr>
      <w:r w:rsidRPr="00956DCD">
        <w:rPr>
          <w:rFonts w:ascii="Arial" w:hAnsi="Arial" w:cs="Arial"/>
          <w:sz w:val="20"/>
          <w:szCs w:val="20"/>
        </w:rPr>
        <w:t xml:space="preserve">ORA additionally protested Edison and SDG&amp;E’s request to recover more than $250 million in 2014 SONGS-related costs in order for ORA to have sufficient time to perform an audit and evaluate the reasonableness of </w:t>
      </w:r>
      <w:r w:rsidR="00486577">
        <w:rPr>
          <w:rFonts w:ascii="Arial" w:hAnsi="Arial" w:cs="Arial"/>
          <w:sz w:val="20"/>
          <w:szCs w:val="20"/>
        </w:rPr>
        <w:t xml:space="preserve">the utilities’ </w:t>
      </w:r>
      <w:r w:rsidRPr="00956DCD">
        <w:rPr>
          <w:rFonts w:ascii="Arial" w:hAnsi="Arial" w:cs="Arial"/>
          <w:sz w:val="20"/>
          <w:szCs w:val="20"/>
        </w:rPr>
        <w:t>2014 recorded expenditures. The CPUC intends to consider this request after it has concluded review of the SONGS</w:t>
      </w:r>
      <w:r w:rsidR="007C1629">
        <w:rPr>
          <w:rFonts w:ascii="Arial" w:hAnsi="Arial" w:cs="Arial"/>
          <w:sz w:val="20"/>
          <w:szCs w:val="20"/>
        </w:rPr>
        <w:t xml:space="preserve"> d</w:t>
      </w:r>
      <w:r w:rsidRPr="00956DCD">
        <w:rPr>
          <w:rFonts w:ascii="Arial" w:hAnsi="Arial" w:cs="Arial"/>
          <w:sz w:val="20"/>
          <w:szCs w:val="20"/>
        </w:rPr>
        <w:t>ecommissioning costs.</w:t>
      </w:r>
    </w:p>
    <w:p w:rsidR="00C67797" w:rsidRPr="00956DCD" w:rsidRDefault="00C67797" w:rsidP="00720D4F">
      <w:pPr>
        <w:pStyle w:val="BodyTextNoIndent"/>
        <w:spacing w:line="288" w:lineRule="auto"/>
      </w:pPr>
    </w:p>
    <w:p w:rsidR="006C79BD" w:rsidRDefault="006C79BD" w:rsidP="00E40312">
      <w:pPr>
        <w:pStyle w:val="GreyHeading2StyleGroup1"/>
        <w:spacing w:after="0" w:line="240" w:lineRule="auto"/>
        <w:jc w:val="left"/>
        <w:rPr>
          <w:rFonts w:ascii="Arial Black" w:hAnsi="Arial Black"/>
          <w:color w:val="4F81BD" w:themeColor="accent1"/>
          <w:sz w:val="22"/>
        </w:rPr>
      </w:pPr>
      <w:r w:rsidRPr="00C67797">
        <w:rPr>
          <w:rFonts w:ascii="Arial Black" w:hAnsi="Arial Black"/>
          <w:color w:val="4F81BD" w:themeColor="accent1"/>
          <w:sz w:val="22"/>
        </w:rPr>
        <w:t>Sempra Companies: San Diego Gas &amp; Electric Company (SDG&amp;E) and Southern California Gas Company (SoCalGas)</w:t>
      </w:r>
    </w:p>
    <w:p w:rsidR="00F01BA3" w:rsidRPr="00C67797" w:rsidRDefault="00F01BA3" w:rsidP="00F01BA3">
      <w:pPr>
        <w:pStyle w:val="GreyHeading2StyleGroup1"/>
        <w:spacing w:after="0" w:line="240" w:lineRule="auto"/>
        <w:jc w:val="left"/>
        <w:rPr>
          <w:rFonts w:ascii="Arial Black" w:hAnsi="Arial Black"/>
          <w:color w:val="4F81BD" w:themeColor="accent1"/>
          <w:sz w:val="22"/>
        </w:rPr>
      </w:pPr>
    </w:p>
    <w:p w:rsidR="006C79BD" w:rsidRPr="00956DCD" w:rsidRDefault="006C79BD" w:rsidP="00E40312">
      <w:pPr>
        <w:spacing w:after="120"/>
        <w:rPr>
          <w:rFonts w:ascii="Arial Black" w:hAnsi="Arial Black" w:cs="Arial"/>
          <w:b/>
          <w:sz w:val="20"/>
          <w:szCs w:val="20"/>
        </w:rPr>
      </w:pPr>
      <w:r w:rsidRPr="00956DCD">
        <w:rPr>
          <w:rFonts w:ascii="Arial Black" w:hAnsi="Arial Black" w:cs="Arial"/>
          <w:b/>
          <w:sz w:val="20"/>
          <w:szCs w:val="20"/>
        </w:rPr>
        <w:t>SDG&amp;E and SoCalGas 2016 General Rate Case</w:t>
      </w:r>
    </w:p>
    <w:p w:rsidR="002D6B09" w:rsidRPr="00F01BA3" w:rsidRDefault="006C79BD" w:rsidP="00F01BA3">
      <w:pPr>
        <w:spacing w:after="120" w:line="288" w:lineRule="auto"/>
        <w:ind w:firstLine="720"/>
        <w:jc w:val="both"/>
        <w:rPr>
          <w:rFonts w:ascii="Arial" w:hAnsi="Arial" w:cs="Arial"/>
          <w:sz w:val="20"/>
          <w:szCs w:val="20"/>
        </w:rPr>
      </w:pPr>
      <w:r w:rsidRPr="00956DCD">
        <w:rPr>
          <w:rFonts w:ascii="Arial" w:hAnsi="Arial" w:cs="Arial"/>
          <w:sz w:val="20"/>
          <w:szCs w:val="20"/>
        </w:rPr>
        <w:t>SDG&amp;E and SoCalGas had initially requested CPUC approval to increase their revenue requirements for 2016 – 2018 by $688 million and $1.1 billion, respectively. ORA's analysis shows that both SDG&amp;E and SoCalGas had over-estimated their costs in the areas of employee incentives / awards, medical benefits, forecasts of distribution operations and maintenance expenses, customer service, and the escalation rates for 2017 and 2018. ORA worked with SDG&amp;E, SoCalGas, and other intervening parties to negotiate a settlement agreement that would provide SDG&amp;E with a cumulative increase of $256 million for 2016 – 2018 and SoCalGas a cumulative increase</w:t>
      </w:r>
      <w:r w:rsidR="00086CC3">
        <w:rPr>
          <w:rFonts w:ascii="Arial" w:hAnsi="Arial" w:cs="Arial"/>
          <w:sz w:val="20"/>
          <w:szCs w:val="20"/>
        </w:rPr>
        <w:t xml:space="preserve"> of</w:t>
      </w:r>
      <w:r w:rsidRPr="00956DCD">
        <w:rPr>
          <w:rFonts w:ascii="Arial" w:hAnsi="Arial" w:cs="Arial"/>
          <w:sz w:val="20"/>
          <w:szCs w:val="20"/>
        </w:rPr>
        <w:t xml:space="preserve"> $602 million for that 3-year period. If</w:t>
      </w:r>
      <w:r w:rsidR="00C24CE9">
        <w:rPr>
          <w:rFonts w:ascii="Arial" w:hAnsi="Arial" w:cs="Arial"/>
          <w:sz w:val="20"/>
          <w:szCs w:val="20"/>
        </w:rPr>
        <w:t xml:space="preserve"> the CPUC adopts </w:t>
      </w:r>
      <w:r w:rsidR="00B654C6">
        <w:rPr>
          <w:rFonts w:ascii="Arial" w:hAnsi="Arial" w:cs="Arial"/>
          <w:sz w:val="20"/>
          <w:szCs w:val="20"/>
        </w:rPr>
        <w:br/>
      </w:r>
      <w:r w:rsidR="00C24CE9">
        <w:rPr>
          <w:rFonts w:ascii="Arial" w:hAnsi="Arial" w:cs="Arial"/>
          <w:sz w:val="20"/>
          <w:szCs w:val="20"/>
        </w:rPr>
        <w:t>the settlement</w:t>
      </w:r>
      <w:r w:rsidRPr="00956DCD">
        <w:rPr>
          <w:rFonts w:ascii="Arial" w:hAnsi="Arial" w:cs="Arial"/>
          <w:sz w:val="20"/>
          <w:szCs w:val="20"/>
        </w:rPr>
        <w:t xml:space="preserve">, SDG&amp;E’s and SoCalGas’ customers </w:t>
      </w:r>
      <w:r w:rsidR="009227F5">
        <w:rPr>
          <w:rFonts w:ascii="Arial" w:hAnsi="Arial" w:cs="Arial"/>
          <w:sz w:val="20"/>
          <w:szCs w:val="20"/>
        </w:rPr>
        <w:br/>
      </w:r>
      <w:r w:rsidR="009227F5">
        <w:rPr>
          <w:rFonts w:ascii="Arial" w:hAnsi="Arial" w:cs="Arial"/>
          <w:sz w:val="20"/>
          <w:szCs w:val="20"/>
        </w:rPr>
        <w:lastRenderedPageBreak/>
        <w:br/>
      </w:r>
      <w:r w:rsidRPr="00956DCD">
        <w:rPr>
          <w:rFonts w:ascii="Arial" w:hAnsi="Arial" w:cs="Arial"/>
          <w:sz w:val="20"/>
          <w:szCs w:val="20"/>
        </w:rPr>
        <w:t xml:space="preserve">will save $432 million and $498 million, respectively, compared with Sempra’s original request. </w:t>
      </w:r>
      <w:r w:rsidRPr="00956DCD">
        <w:rPr>
          <w:rFonts w:ascii="Arial" w:eastAsiaTheme="minorHAnsi" w:hAnsi="Arial" w:cs="Arial"/>
          <w:sz w:val="20"/>
          <w:szCs w:val="20"/>
        </w:rPr>
        <w:t xml:space="preserve">ORA anticipates </w:t>
      </w:r>
      <w:r w:rsidR="00101D93">
        <w:rPr>
          <w:rFonts w:ascii="Arial" w:eastAsiaTheme="minorHAnsi" w:hAnsi="Arial" w:cs="Arial"/>
          <w:sz w:val="20"/>
          <w:szCs w:val="20"/>
        </w:rPr>
        <w:t xml:space="preserve">that </w:t>
      </w:r>
      <w:r w:rsidRPr="00956DCD">
        <w:rPr>
          <w:rFonts w:ascii="Arial" w:eastAsiaTheme="minorHAnsi" w:hAnsi="Arial" w:cs="Arial"/>
          <w:sz w:val="20"/>
          <w:szCs w:val="20"/>
        </w:rPr>
        <w:t>the CPUC will issue a proposed decision in the first quarter of 2016.</w:t>
      </w:r>
    </w:p>
    <w:p w:rsidR="006C79BD" w:rsidRPr="00956DCD" w:rsidRDefault="006C79BD" w:rsidP="00793B77">
      <w:pPr>
        <w:spacing w:after="120"/>
        <w:rPr>
          <w:rFonts w:ascii="Arial Black" w:hAnsi="Arial Black" w:cs="Arial"/>
          <w:b/>
          <w:bCs/>
          <w:sz w:val="20"/>
          <w:szCs w:val="20"/>
        </w:rPr>
      </w:pPr>
      <w:r w:rsidRPr="00956DCD">
        <w:rPr>
          <w:rFonts w:ascii="Arial Black" w:hAnsi="Arial Black" w:cs="Arial"/>
          <w:b/>
          <w:bCs/>
          <w:sz w:val="20"/>
          <w:szCs w:val="20"/>
        </w:rPr>
        <w:t>Natural Gas: SoCalGas and San Diego Gas &amp; Electric North-South Project</w:t>
      </w:r>
    </w:p>
    <w:p w:rsidR="006C79BD" w:rsidRPr="00956DCD" w:rsidRDefault="006C79BD" w:rsidP="009227F5">
      <w:pPr>
        <w:spacing w:line="288" w:lineRule="auto"/>
        <w:ind w:firstLine="720"/>
        <w:jc w:val="both"/>
        <w:rPr>
          <w:rFonts w:ascii="Arial" w:hAnsi="Arial" w:cs="Arial"/>
          <w:strike/>
          <w:sz w:val="20"/>
          <w:szCs w:val="20"/>
        </w:rPr>
      </w:pPr>
      <w:r w:rsidRPr="00956DCD">
        <w:rPr>
          <w:rFonts w:ascii="Arial" w:hAnsi="Arial" w:cs="Arial"/>
          <w:sz w:val="20"/>
          <w:szCs w:val="20"/>
        </w:rPr>
        <w:t xml:space="preserve">Based on its detailed review and analysis, ORA recommends that the CPUC deny SoCalGas and SDG&amp;E’s request to implement its proposed North-South Project that purports to address reliability concerns on the southern gas system. The proposal would ultimately cost customers $2.78 billion over the life of the project, and $133.6 million in the first year of service. ORA’s analysis shows that the Sempra companies failed to demonstrate that the pipeline is necessary. ORA recommends that Sempra first seek a broad range of non-physical “no-build” alternatives and allocate these costs across all SoCalGas and SDG&amp;E customers, consistent with current practices. </w:t>
      </w:r>
      <w:r w:rsidR="00A4142B">
        <w:rPr>
          <w:rFonts w:ascii="Arial" w:hAnsi="Arial" w:cs="Arial"/>
          <w:sz w:val="20"/>
          <w:szCs w:val="20"/>
        </w:rPr>
        <w:t>ORA anticipates a CPUC decision in the first half of 2016</w:t>
      </w:r>
      <w:r w:rsidRPr="00956DCD">
        <w:rPr>
          <w:rFonts w:ascii="Arial" w:hAnsi="Arial" w:cs="Arial"/>
          <w:sz w:val="20"/>
          <w:szCs w:val="20"/>
        </w:rPr>
        <w:t xml:space="preserve">. </w:t>
      </w:r>
    </w:p>
    <w:p w:rsidR="006C79BD" w:rsidRPr="00956DCD" w:rsidRDefault="006C79BD" w:rsidP="00720D4F">
      <w:pPr>
        <w:spacing w:after="120" w:line="288" w:lineRule="auto"/>
        <w:rPr>
          <w:rFonts w:ascii="Arial" w:hAnsi="Arial" w:cs="Arial"/>
          <w:b/>
          <w:color w:val="4F81BD" w:themeColor="accent1"/>
          <w:sz w:val="20"/>
          <w:szCs w:val="20"/>
        </w:rPr>
      </w:pPr>
    </w:p>
    <w:p w:rsidR="006C79BD" w:rsidRPr="00C67797" w:rsidRDefault="006C79BD" w:rsidP="00720D4F">
      <w:pPr>
        <w:spacing w:after="120" w:line="288" w:lineRule="auto"/>
        <w:rPr>
          <w:rFonts w:ascii="Arial Black" w:hAnsi="Arial Black" w:cs="Arial"/>
          <w:b/>
          <w:color w:val="4F81BD" w:themeColor="accent1"/>
          <w:sz w:val="22"/>
          <w:szCs w:val="20"/>
        </w:rPr>
      </w:pPr>
      <w:r w:rsidRPr="00C67797">
        <w:rPr>
          <w:rFonts w:ascii="Arial Black" w:hAnsi="Arial Black" w:cs="Arial"/>
          <w:b/>
          <w:color w:val="4F81BD" w:themeColor="accent1"/>
          <w:sz w:val="22"/>
          <w:szCs w:val="20"/>
        </w:rPr>
        <w:t>Liberty Utilities</w:t>
      </w:r>
    </w:p>
    <w:p w:rsidR="000C45B8" w:rsidRDefault="006C79BD" w:rsidP="00F01BA3">
      <w:pPr>
        <w:spacing w:after="120" w:line="288" w:lineRule="auto"/>
        <w:ind w:firstLine="720"/>
        <w:jc w:val="both"/>
        <w:rPr>
          <w:rFonts w:ascii="Arial" w:hAnsi="Arial" w:cs="Arial"/>
          <w:sz w:val="20"/>
          <w:szCs w:val="20"/>
        </w:rPr>
      </w:pPr>
      <w:r w:rsidRPr="00956DCD">
        <w:rPr>
          <w:rFonts w:ascii="Arial" w:hAnsi="Arial" w:cs="Arial"/>
          <w:sz w:val="20"/>
          <w:szCs w:val="20"/>
        </w:rPr>
        <w:t>Liberty has requested a $13.6 million (or 17.3%) increase for 2016 over its current authorized revenue requirement. ORA’s analysis shows that Liberty has over-estimated its revenue needs in the areas of general and administrative expenses, operations and maintenance expenses, capital additions, and its rate of return. ORA recommends that the CPUC instead should approve an increase of $</w:t>
      </w:r>
      <w:r w:rsidR="00CE6E80">
        <w:rPr>
          <w:rFonts w:ascii="Arial" w:hAnsi="Arial" w:cs="Arial"/>
          <w:sz w:val="20"/>
          <w:szCs w:val="20"/>
        </w:rPr>
        <w:t>7</w:t>
      </w:r>
      <w:r w:rsidRPr="00956DCD">
        <w:rPr>
          <w:rFonts w:ascii="Arial" w:hAnsi="Arial" w:cs="Arial"/>
          <w:sz w:val="20"/>
          <w:szCs w:val="20"/>
        </w:rPr>
        <w:t>.</w:t>
      </w:r>
      <w:r w:rsidR="00CE6E80">
        <w:rPr>
          <w:rFonts w:ascii="Arial" w:hAnsi="Arial" w:cs="Arial"/>
          <w:sz w:val="20"/>
          <w:szCs w:val="20"/>
        </w:rPr>
        <w:t>0</w:t>
      </w:r>
      <w:r w:rsidRPr="00956DCD">
        <w:rPr>
          <w:rFonts w:ascii="Arial" w:hAnsi="Arial" w:cs="Arial"/>
          <w:sz w:val="20"/>
          <w:szCs w:val="20"/>
        </w:rPr>
        <w:t xml:space="preserve"> million for 2016 (or </w:t>
      </w:r>
      <w:r w:rsidR="00CE6E80">
        <w:rPr>
          <w:rFonts w:ascii="Arial" w:hAnsi="Arial" w:cs="Arial"/>
          <w:sz w:val="20"/>
          <w:szCs w:val="20"/>
        </w:rPr>
        <w:t>8.2</w:t>
      </w:r>
      <w:r w:rsidRPr="00956DCD">
        <w:rPr>
          <w:rFonts w:ascii="Arial" w:hAnsi="Arial" w:cs="Arial"/>
          <w:sz w:val="20"/>
          <w:szCs w:val="20"/>
        </w:rPr>
        <w:t xml:space="preserve">%). ORA also recommends a Return on Equity (ROE) of 9.71% compared with Liberty’s request  of 10.5%, over its current 9.875%, in order to be more appropriately </w:t>
      </w:r>
      <w:r w:rsidR="00F01BA3">
        <w:rPr>
          <w:rFonts w:ascii="Arial" w:hAnsi="Arial" w:cs="Arial"/>
          <w:sz w:val="20"/>
          <w:szCs w:val="20"/>
        </w:rPr>
        <w:t>aligned with market conditions.</w:t>
      </w:r>
    </w:p>
    <w:p w:rsidR="00F01BA3" w:rsidRPr="00F01BA3" w:rsidRDefault="00F01BA3" w:rsidP="00F01BA3">
      <w:pPr>
        <w:spacing w:after="120" w:line="288" w:lineRule="auto"/>
        <w:ind w:firstLine="720"/>
        <w:jc w:val="both"/>
        <w:rPr>
          <w:rFonts w:ascii="Arial" w:hAnsi="Arial" w:cs="Arial"/>
          <w:sz w:val="20"/>
          <w:szCs w:val="20"/>
        </w:rPr>
      </w:pPr>
    </w:p>
    <w:p w:rsidR="006C79BD" w:rsidRPr="00635404" w:rsidRDefault="006C79BD" w:rsidP="0009202F">
      <w:pPr>
        <w:spacing w:after="120" w:line="288" w:lineRule="auto"/>
        <w:rPr>
          <w:rFonts w:ascii="Arial Black" w:hAnsi="Arial Black" w:cs="Arial"/>
          <w:b/>
          <w:color w:val="4F81BD" w:themeColor="accent1"/>
          <w:sz w:val="22"/>
          <w:szCs w:val="20"/>
        </w:rPr>
      </w:pPr>
      <w:r w:rsidRPr="00635404">
        <w:rPr>
          <w:rFonts w:ascii="Arial Black" w:hAnsi="Arial Black" w:cs="Arial"/>
          <w:b/>
          <w:color w:val="4F81BD" w:themeColor="accent1"/>
          <w:sz w:val="22"/>
          <w:szCs w:val="20"/>
        </w:rPr>
        <w:t>Statewide Rate Reform and Programs</w:t>
      </w:r>
    </w:p>
    <w:p w:rsidR="006C79BD" w:rsidRPr="00956DCD" w:rsidRDefault="006C79BD">
      <w:pPr>
        <w:pStyle w:val="BodyTextNoIndent"/>
        <w:spacing w:line="288" w:lineRule="auto"/>
        <w:rPr>
          <w:color w:val="000000" w:themeColor="text1"/>
        </w:rPr>
      </w:pPr>
      <w:r w:rsidRPr="00956DCD">
        <w:rPr>
          <w:rFonts w:eastAsia="Times New Roman"/>
          <w:color w:val="000000" w:themeColor="text1"/>
        </w:rPr>
        <w:t>ORA supports the need for California to address the unintended consequences of the 2001 legislation</w:t>
      </w:r>
      <w:r w:rsidR="00B63252">
        <w:rPr>
          <w:rFonts w:eastAsia="Times New Roman"/>
          <w:color w:val="000000" w:themeColor="text1"/>
        </w:rPr>
        <w:t xml:space="preserve"> that</w:t>
      </w:r>
      <w:r w:rsidR="00C24CE9">
        <w:rPr>
          <w:rFonts w:eastAsia="Times New Roman"/>
          <w:color w:val="000000" w:themeColor="text1"/>
        </w:rPr>
        <w:t xml:space="preserve"> </w:t>
      </w:r>
      <w:r w:rsidRPr="00956DCD">
        <w:rPr>
          <w:rFonts w:eastAsia="Times New Roman"/>
          <w:color w:val="000000" w:themeColor="text1"/>
        </w:rPr>
        <w:t>froze volumetric electrici</w:t>
      </w:r>
      <w:r w:rsidR="00F01BA3">
        <w:rPr>
          <w:rFonts w:eastAsia="Times New Roman"/>
          <w:color w:val="000000" w:themeColor="text1"/>
        </w:rPr>
        <w:t xml:space="preserve">ty rates </w:t>
      </w:r>
      <w:r w:rsidRPr="00956DCD">
        <w:rPr>
          <w:rFonts w:eastAsia="Times New Roman"/>
          <w:color w:val="000000" w:themeColor="text1"/>
        </w:rPr>
        <w:t>during the energy crisis</w:t>
      </w:r>
      <w:r w:rsidR="00C24CE9">
        <w:rPr>
          <w:rFonts w:eastAsia="Times New Roman"/>
          <w:color w:val="000000" w:themeColor="text1"/>
        </w:rPr>
        <w:t>,</w:t>
      </w:r>
      <w:r w:rsidRPr="00956DCD">
        <w:rPr>
          <w:rFonts w:eastAsia="Times New Roman"/>
          <w:color w:val="000000" w:themeColor="text1"/>
        </w:rPr>
        <w:t xml:space="preserve"> by reducing</w:t>
      </w:r>
      <w:r w:rsidR="00793B77">
        <w:rPr>
          <w:rFonts w:eastAsia="Times New Roman"/>
          <w:color w:val="000000" w:themeColor="text1"/>
        </w:rPr>
        <w:t xml:space="preserve"> </w:t>
      </w:r>
      <w:r w:rsidRPr="00956DCD">
        <w:rPr>
          <w:rFonts w:eastAsia="Times New Roman"/>
          <w:color w:val="000000" w:themeColor="text1"/>
        </w:rPr>
        <w:t>tier rate differentials. </w:t>
      </w:r>
      <w:r w:rsidRPr="00956DCD">
        <w:rPr>
          <w:color w:val="000000" w:themeColor="text1"/>
        </w:rPr>
        <w:t>Accordingly, ORA generally supports the</w:t>
      </w:r>
      <w:r w:rsidR="00E57FCE">
        <w:rPr>
          <w:color w:val="000000" w:themeColor="text1"/>
        </w:rPr>
        <w:t xml:space="preserve"> </w:t>
      </w:r>
      <w:r w:rsidRPr="00956DCD">
        <w:rPr>
          <w:color w:val="000000" w:themeColor="text1"/>
        </w:rPr>
        <w:t>CPUC’s 2015 residential rate reform decision</w:t>
      </w:r>
      <w:r w:rsidRPr="00956DCD">
        <w:rPr>
          <w:rFonts w:eastAsia="Times New Roman"/>
          <w:color w:val="000000" w:themeColor="text1"/>
        </w:rPr>
        <w:t xml:space="preserve"> </w:t>
      </w:r>
      <w:r w:rsidRPr="00956DCD">
        <w:rPr>
          <w:color w:val="000000" w:themeColor="text1"/>
        </w:rPr>
        <w:t xml:space="preserve">which favors </w:t>
      </w:r>
      <w:r w:rsidRPr="00956DCD">
        <w:rPr>
          <w:rFonts w:eastAsia="Times New Roman"/>
          <w:color w:val="000000" w:themeColor="text1"/>
        </w:rPr>
        <w:t xml:space="preserve">minimum bills over fixed charges in the near-term, </w:t>
      </w:r>
      <w:r w:rsidRPr="00956DCD">
        <w:rPr>
          <w:color w:val="000000" w:themeColor="text1"/>
        </w:rPr>
        <w:t xml:space="preserve">balancing the need to carefully design rates over time in order to avoid </w:t>
      </w:r>
      <w:r w:rsidR="009227F5">
        <w:rPr>
          <w:color w:val="000000" w:themeColor="text1"/>
        </w:rPr>
        <w:br/>
      </w:r>
      <w:r w:rsidR="009227F5">
        <w:rPr>
          <w:color w:val="000000" w:themeColor="text1"/>
        </w:rPr>
        <w:br/>
      </w:r>
      <w:r w:rsidR="009227F5">
        <w:rPr>
          <w:color w:val="000000" w:themeColor="text1"/>
        </w:rPr>
        <w:lastRenderedPageBreak/>
        <w:br/>
      </w:r>
      <w:r w:rsidRPr="00956DCD">
        <w:rPr>
          <w:color w:val="000000" w:themeColor="text1"/>
        </w:rPr>
        <w:t xml:space="preserve">customer rate shock as lower-tier rates necessarily increase. </w:t>
      </w:r>
    </w:p>
    <w:p w:rsidR="006C79BD" w:rsidRPr="00956DCD" w:rsidRDefault="006C79BD" w:rsidP="00D03ACC">
      <w:pPr>
        <w:pStyle w:val="BodyTextNoIndent"/>
        <w:spacing w:after="0" w:line="288" w:lineRule="auto"/>
        <w:ind w:firstLine="720"/>
        <w:rPr>
          <w:color w:val="000000" w:themeColor="text1"/>
        </w:rPr>
      </w:pPr>
      <w:r w:rsidRPr="00956DCD">
        <w:rPr>
          <w:color w:val="000000" w:themeColor="text1"/>
        </w:rPr>
        <w:t>ORA successfully advocated for Time-of-Use pricing to become the default rate for residential customers, while allowing customers who do not wish to be on Time-of Use pricing to opt-out to a different rate schedule. ORA supports the CPUC’s plan to implement Time-of-Use pricing for residential customers in order to efficiently target the most expensive and polluting hours of the day for generating electricity</w:t>
      </w:r>
      <w:r w:rsidR="00C24CE9">
        <w:rPr>
          <w:color w:val="000000" w:themeColor="text1"/>
        </w:rPr>
        <w:t>,</w:t>
      </w:r>
      <w:r w:rsidRPr="00956DCD">
        <w:rPr>
          <w:color w:val="000000" w:themeColor="text1"/>
        </w:rPr>
        <w:t xml:space="preserve"> while giving customers greater flexibility to adjust consumption to reduce bills.</w:t>
      </w:r>
      <w:r w:rsidRPr="00956DCD">
        <w:rPr>
          <w:rFonts w:eastAsia="Times New Roman"/>
          <w:color w:val="000000" w:themeColor="text1"/>
        </w:rPr>
        <w:t xml:space="preserve"> ORA does not support the concept of fixed charges because they </w:t>
      </w:r>
      <w:r w:rsidRPr="00956DCD">
        <w:rPr>
          <w:color w:val="000000" w:themeColor="text1"/>
        </w:rPr>
        <w:t xml:space="preserve">reduce a customer’s incentive to manage their energy use and would disproportionately harm customers that use the least amount of energy per month. The CPUC </w:t>
      </w:r>
      <w:r w:rsidR="00CC5628">
        <w:rPr>
          <w:color w:val="000000" w:themeColor="text1"/>
        </w:rPr>
        <w:t>might</w:t>
      </w:r>
      <w:r w:rsidR="00CE6E80">
        <w:rPr>
          <w:color w:val="000000" w:themeColor="text1"/>
        </w:rPr>
        <w:t xml:space="preserve"> </w:t>
      </w:r>
      <w:r w:rsidRPr="00956DCD">
        <w:rPr>
          <w:color w:val="000000" w:themeColor="text1"/>
        </w:rPr>
        <w:t xml:space="preserve">reconsider </w:t>
      </w:r>
      <w:r w:rsidR="00CC5628">
        <w:rPr>
          <w:color w:val="000000" w:themeColor="text1"/>
        </w:rPr>
        <w:t xml:space="preserve">the imposition of </w:t>
      </w:r>
      <w:r w:rsidRPr="00956DCD">
        <w:rPr>
          <w:color w:val="000000" w:themeColor="text1"/>
        </w:rPr>
        <w:t>fixed charges again in 2019.</w:t>
      </w:r>
    </w:p>
    <w:p w:rsidR="006C79BD" w:rsidRPr="00956DCD" w:rsidRDefault="006C79BD" w:rsidP="00720D4F">
      <w:pPr>
        <w:pStyle w:val="BodyTextNoIndent"/>
        <w:spacing w:line="288" w:lineRule="auto"/>
        <w:rPr>
          <w:rFonts w:eastAsia="Times New Roman"/>
          <w:color w:val="000000" w:themeColor="text1"/>
        </w:rPr>
      </w:pPr>
    </w:p>
    <w:p w:rsidR="006C79BD" w:rsidRPr="00C67797" w:rsidRDefault="006C79BD" w:rsidP="00720D4F">
      <w:pPr>
        <w:spacing w:after="120" w:line="288" w:lineRule="auto"/>
        <w:rPr>
          <w:rFonts w:ascii="Arial Black" w:hAnsi="Arial Black" w:cs="Arial"/>
          <w:b/>
          <w:color w:val="4F81BD" w:themeColor="accent1"/>
          <w:sz w:val="22"/>
          <w:szCs w:val="20"/>
        </w:rPr>
      </w:pPr>
      <w:r w:rsidRPr="00C67797">
        <w:rPr>
          <w:rFonts w:ascii="Arial Black" w:hAnsi="Arial Black" w:cs="Arial"/>
          <w:b/>
          <w:color w:val="4F81BD" w:themeColor="accent1"/>
          <w:sz w:val="22"/>
          <w:szCs w:val="20"/>
        </w:rPr>
        <w:t>Safety</w:t>
      </w:r>
    </w:p>
    <w:p w:rsidR="00F01BA3" w:rsidRDefault="006C79BD" w:rsidP="00F01BA3">
      <w:pPr>
        <w:spacing w:after="120" w:line="288" w:lineRule="auto"/>
        <w:ind w:firstLine="720"/>
        <w:jc w:val="both"/>
        <w:rPr>
          <w:rFonts w:ascii="Arial" w:hAnsi="Arial" w:cs="Arial"/>
          <w:sz w:val="20"/>
          <w:szCs w:val="20"/>
        </w:rPr>
      </w:pPr>
      <w:r w:rsidRPr="00956DCD">
        <w:rPr>
          <w:rFonts w:ascii="Arial" w:hAnsi="Arial" w:cs="Arial"/>
          <w:sz w:val="20"/>
          <w:szCs w:val="20"/>
        </w:rPr>
        <w:t>ORA supports the CPUC’s objectives to make improvements to its General Order 112, which guides</w:t>
      </w:r>
      <w:r w:rsidRPr="00956DCD">
        <w:rPr>
          <w:rFonts w:ascii="Arial" w:hAnsi="Arial" w:cs="Arial"/>
          <w:b/>
          <w:sz w:val="20"/>
          <w:szCs w:val="20"/>
        </w:rPr>
        <w:t xml:space="preserve"> </w:t>
      </w:r>
      <w:r w:rsidRPr="00956DCD">
        <w:rPr>
          <w:rFonts w:ascii="Arial" w:hAnsi="Arial" w:cs="Arial"/>
          <w:sz w:val="20"/>
          <w:szCs w:val="20"/>
        </w:rPr>
        <w:t xml:space="preserve">gas pipeline safety standards in California. While ORA generally supports the CPUC’s proposed modifications, its primary concern is that the CPUC has not yet made updates that reflect changes to the pressure testing requirements that resulted from its San Bruno investigation proceedings. Those rules require utilities to pressure test pipelines installed prior to 1970 that had not been previously pressure tested -- or for which records are missing. These orders should be specifically included in General Order 112 to ensure that both requirements and enforcement are clear. Accordingly, on July 13, 2015, ORA along with the City of San Carlos filed an </w:t>
      </w:r>
      <w:r w:rsidRPr="00956DCD">
        <w:rPr>
          <w:rFonts w:ascii="Arial" w:hAnsi="Arial" w:cs="Arial"/>
          <w:bCs/>
          <w:sz w:val="20"/>
          <w:szCs w:val="20"/>
        </w:rPr>
        <w:t>Application for Rehearing</w:t>
      </w:r>
      <w:r w:rsidRPr="00956DCD">
        <w:rPr>
          <w:rFonts w:ascii="Arial" w:hAnsi="Arial" w:cs="Arial"/>
          <w:sz w:val="20"/>
          <w:szCs w:val="20"/>
        </w:rPr>
        <w:t xml:space="preserve">, requesting that the CPUC update General Order 112 to be consistent with its own rules, as well as with federal minimum safety codes. ORA’s filing is </w:t>
      </w:r>
      <w:r w:rsidRPr="00F506AE">
        <w:rPr>
          <w:rFonts w:ascii="Arial" w:hAnsi="Arial" w:cs="Arial"/>
          <w:sz w:val="20"/>
          <w:szCs w:val="20"/>
        </w:rPr>
        <w:t>pending CPUC action.</w:t>
      </w:r>
    </w:p>
    <w:p w:rsidR="00D84166" w:rsidRPr="00956DCD" w:rsidRDefault="00563311" w:rsidP="00F01BA3">
      <w:pPr>
        <w:spacing w:after="120" w:line="288" w:lineRule="auto"/>
        <w:ind w:firstLine="720"/>
        <w:jc w:val="both"/>
        <w:rPr>
          <w:rFonts w:ascii="Arial" w:hAnsi="Arial" w:cs="Arial"/>
          <w:sz w:val="20"/>
          <w:szCs w:val="20"/>
        </w:rPr>
      </w:pPr>
      <w:r w:rsidRPr="00F506AE">
        <w:rPr>
          <w:rFonts w:ascii="Arial" w:hAnsi="Arial" w:cs="Arial"/>
          <w:sz w:val="20"/>
          <w:szCs w:val="20"/>
        </w:rPr>
        <w:t xml:space="preserve">In December 2015, the CPUC adopted ORA’s recommendations that SDG&amp;E and SoCalGas – not ratepayers - should be required to pay for the costs of pressure testing </w:t>
      </w:r>
      <w:r w:rsidR="00F01BA3">
        <w:rPr>
          <w:rFonts w:ascii="Arial" w:hAnsi="Arial" w:cs="Arial"/>
          <w:sz w:val="20"/>
          <w:szCs w:val="20"/>
        </w:rPr>
        <w:t>its natural gas pipeline</w:t>
      </w:r>
      <w:r w:rsidR="00793B77">
        <w:rPr>
          <w:rFonts w:ascii="Arial" w:hAnsi="Arial" w:cs="Arial"/>
          <w:sz w:val="20"/>
          <w:szCs w:val="20"/>
        </w:rPr>
        <w:t>s</w:t>
      </w:r>
      <w:r w:rsidR="00F01BA3">
        <w:rPr>
          <w:rFonts w:ascii="Arial" w:hAnsi="Arial" w:cs="Arial"/>
          <w:sz w:val="20"/>
          <w:szCs w:val="20"/>
        </w:rPr>
        <w:t xml:space="preserve"> which </w:t>
      </w:r>
      <w:r w:rsidRPr="00F506AE">
        <w:rPr>
          <w:rFonts w:ascii="Arial" w:hAnsi="Arial" w:cs="Arial"/>
          <w:sz w:val="20"/>
          <w:szCs w:val="20"/>
        </w:rPr>
        <w:t xml:space="preserve">were installed between 1956 and 1961, where the utilities </w:t>
      </w:r>
      <w:r w:rsidR="00D84166">
        <w:rPr>
          <w:rFonts w:ascii="Arial" w:hAnsi="Arial" w:cs="Arial"/>
          <w:sz w:val="20"/>
          <w:szCs w:val="20"/>
        </w:rPr>
        <w:t>h</w:t>
      </w:r>
      <w:r w:rsidRPr="00F506AE">
        <w:rPr>
          <w:rFonts w:ascii="Arial" w:hAnsi="Arial" w:cs="Arial"/>
          <w:sz w:val="20"/>
          <w:szCs w:val="20"/>
        </w:rPr>
        <w:t xml:space="preserve">ave no pressure test records. If pipeline segments need to be replaced, the decision orders the utilities to pay the cost of replacement equal to the average cost </w:t>
      </w:r>
      <w:r w:rsidR="009227F5">
        <w:rPr>
          <w:rFonts w:ascii="Arial" w:hAnsi="Arial" w:cs="Arial"/>
          <w:sz w:val="20"/>
          <w:szCs w:val="20"/>
        </w:rPr>
        <w:br/>
      </w:r>
      <w:r w:rsidR="009227F5">
        <w:rPr>
          <w:rFonts w:ascii="Arial" w:hAnsi="Arial" w:cs="Arial"/>
          <w:sz w:val="20"/>
          <w:szCs w:val="20"/>
        </w:rPr>
        <w:lastRenderedPageBreak/>
        <w:br/>
      </w:r>
      <w:r w:rsidRPr="00F506AE">
        <w:rPr>
          <w:rFonts w:ascii="Arial" w:hAnsi="Arial" w:cs="Arial"/>
          <w:sz w:val="20"/>
          <w:szCs w:val="20"/>
        </w:rPr>
        <w:t>of pressure testing, or if the pipeline is abandoned then the utility must pay the remaining investment. ORA's evidence showed that the utilities should be responsible for these costs because ratepayers had already paid for pressure testing between 1956 and 1961. ORA estimates that this will result in savings of $50 - 200 million for ratepayers.</w:t>
      </w:r>
    </w:p>
    <w:p w:rsidR="00546B92" w:rsidRDefault="00546B92" w:rsidP="00546B92">
      <w:pPr>
        <w:spacing w:after="120" w:line="288" w:lineRule="auto"/>
        <w:ind w:firstLine="720"/>
        <w:jc w:val="both"/>
        <w:rPr>
          <w:rFonts w:ascii="Arial" w:hAnsi="Arial" w:cs="Arial"/>
          <w:sz w:val="20"/>
          <w:szCs w:val="20"/>
        </w:rPr>
      </w:pPr>
      <w:r>
        <w:rPr>
          <w:rFonts w:ascii="Arial" w:hAnsi="Arial" w:cs="Arial"/>
          <w:sz w:val="20"/>
          <w:szCs w:val="20"/>
        </w:rPr>
        <w:t>Additionally, on December 16, 2015,</w:t>
      </w:r>
      <w:r w:rsidR="00B609A2">
        <w:rPr>
          <w:rFonts w:ascii="Arial" w:hAnsi="Arial" w:cs="Arial"/>
          <w:sz w:val="20"/>
          <w:szCs w:val="20"/>
        </w:rPr>
        <w:t xml:space="preserve"> ORA filed a motion showing that PG&amp;E is in violation of federal gas safety regulations and requesting the CPUC impose fines against PG&amp;E for filing misleading information regarding its compliance with those regulations, and for failure to have a comprehensive gas safety plan in place in violation of state law. The ORA motion demonstrates that PG&amp;E has been intenti</w:t>
      </w:r>
      <w:r w:rsidR="00793B77">
        <w:rPr>
          <w:rFonts w:ascii="Arial" w:hAnsi="Arial" w:cs="Arial"/>
          <w:sz w:val="20"/>
          <w:szCs w:val="20"/>
        </w:rPr>
        <w:t>onally misleading the CPUC</w:t>
      </w:r>
      <w:r w:rsidR="00B609A2">
        <w:rPr>
          <w:rFonts w:ascii="Arial" w:hAnsi="Arial" w:cs="Arial"/>
          <w:sz w:val="20"/>
          <w:szCs w:val="20"/>
        </w:rPr>
        <w:t xml:space="preserve"> for over two years regarding its compliance with federal regulations in order to create confusion and avoid further enforcement actions. ORA’s objective in filing the Motion is to protect public safety by ensuring that PG&amp;E is required to comply with state and federal safety rules.</w:t>
      </w:r>
      <w:r>
        <w:rPr>
          <w:rFonts w:ascii="Arial" w:hAnsi="Arial" w:cs="Arial"/>
          <w:sz w:val="20"/>
          <w:szCs w:val="20"/>
        </w:rPr>
        <w:t xml:space="preserve"> </w:t>
      </w:r>
    </w:p>
    <w:p w:rsidR="00E57FCE" w:rsidRDefault="006C79BD" w:rsidP="00D03ACC">
      <w:pPr>
        <w:spacing w:line="288" w:lineRule="auto"/>
        <w:ind w:firstLine="720"/>
        <w:jc w:val="both"/>
      </w:pPr>
      <w:r w:rsidRPr="00956DCD">
        <w:rPr>
          <w:rFonts w:ascii="Arial" w:hAnsi="Arial" w:cs="Arial"/>
          <w:sz w:val="20"/>
          <w:szCs w:val="20"/>
        </w:rPr>
        <w:t xml:space="preserve">This year, ORA also created a new branch called Energy Safety &amp; Infrastructure in order to better manage ORA’s significant workload in these two important areas. </w:t>
      </w:r>
      <w:r w:rsidR="00CC5628">
        <w:rPr>
          <w:rFonts w:ascii="Arial" w:hAnsi="Arial" w:cs="Arial"/>
          <w:sz w:val="20"/>
          <w:szCs w:val="20"/>
        </w:rPr>
        <w:t xml:space="preserve">The branch is organized into two sections. </w:t>
      </w:r>
      <w:r w:rsidRPr="00956DCD">
        <w:rPr>
          <w:rFonts w:ascii="Arial" w:hAnsi="Arial" w:cs="Arial"/>
          <w:sz w:val="20"/>
          <w:szCs w:val="20"/>
        </w:rPr>
        <w:t>The Energy Safety section is comprised of engineers who will review the safety aspects of the CPUC proceedings, as well as assess the ener</w:t>
      </w:r>
      <w:r w:rsidR="00C24CE9">
        <w:rPr>
          <w:rFonts w:ascii="Arial" w:hAnsi="Arial" w:cs="Arial"/>
          <w:sz w:val="20"/>
          <w:szCs w:val="20"/>
        </w:rPr>
        <w:t>gy utilities’ (chiefly PG&amp;E, Edison</w:t>
      </w:r>
      <w:r w:rsidRPr="00956DCD">
        <w:rPr>
          <w:rFonts w:ascii="Arial" w:hAnsi="Arial" w:cs="Arial"/>
          <w:sz w:val="20"/>
          <w:szCs w:val="20"/>
        </w:rPr>
        <w:t xml:space="preserve">, </w:t>
      </w:r>
      <w:r w:rsidR="00C24CE9" w:rsidRPr="00956DCD">
        <w:rPr>
          <w:rFonts w:ascii="Arial" w:hAnsi="Arial" w:cs="Arial"/>
          <w:sz w:val="20"/>
          <w:szCs w:val="20"/>
        </w:rPr>
        <w:t>SDG&amp;E</w:t>
      </w:r>
      <w:r w:rsidR="00C24CE9">
        <w:rPr>
          <w:rFonts w:ascii="Arial" w:hAnsi="Arial" w:cs="Arial"/>
          <w:sz w:val="20"/>
          <w:szCs w:val="20"/>
        </w:rPr>
        <w:t xml:space="preserve">, and </w:t>
      </w:r>
      <w:r w:rsidRPr="00956DCD">
        <w:rPr>
          <w:rFonts w:ascii="Arial" w:hAnsi="Arial" w:cs="Arial"/>
          <w:sz w:val="20"/>
          <w:szCs w:val="20"/>
        </w:rPr>
        <w:t>SoCalGas) safety risk assessment filings as required by the CPUC’s new General Rate Case process. The Infrastructure section was moved from another branch and will continue to review projects and proceedings related to Transmission Planning and Distributed Energy Resources, including the Distribution Resources Plan and Electric Vehicles.</w:t>
      </w:r>
    </w:p>
    <w:p w:rsidR="00F01BA3" w:rsidRDefault="00F01BA3" w:rsidP="00F0676A">
      <w:pPr>
        <w:pStyle w:val="GreyHeading2StyleGroup1"/>
        <w:spacing w:line="288" w:lineRule="auto"/>
        <w:jc w:val="left"/>
        <w:rPr>
          <w:rFonts w:ascii="Arial Black" w:hAnsi="Arial Black"/>
          <w:color w:val="4F81BD" w:themeColor="accent1"/>
          <w:sz w:val="22"/>
        </w:rPr>
      </w:pPr>
    </w:p>
    <w:p w:rsidR="006C79BD" w:rsidRPr="00C67797" w:rsidRDefault="006C79BD" w:rsidP="00F0676A">
      <w:pPr>
        <w:pStyle w:val="GreyHeading2StyleGroup1"/>
        <w:spacing w:line="288" w:lineRule="auto"/>
        <w:jc w:val="left"/>
        <w:rPr>
          <w:rFonts w:ascii="Arial Black" w:hAnsi="Arial Black"/>
          <w:color w:val="4F81BD" w:themeColor="accent1"/>
          <w:sz w:val="22"/>
        </w:rPr>
      </w:pPr>
      <w:r w:rsidRPr="00C67797">
        <w:rPr>
          <w:rFonts w:ascii="Arial Black" w:hAnsi="Arial Black"/>
          <w:color w:val="4F81BD" w:themeColor="accent1"/>
          <w:sz w:val="22"/>
        </w:rPr>
        <w:t xml:space="preserve">Procurement  </w:t>
      </w:r>
    </w:p>
    <w:p w:rsidR="006C79BD" w:rsidRPr="00956DCD" w:rsidRDefault="006C79BD" w:rsidP="00F0676A">
      <w:pPr>
        <w:spacing w:after="120" w:line="288" w:lineRule="auto"/>
        <w:ind w:left="720" w:hanging="720"/>
        <w:rPr>
          <w:rFonts w:ascii="Arial Black" w:hAnsi="Arial Black" w:cs="Arial"/>
          <w:b/>
          <w:sz w:val="20"/>
          <w:szCs w:val="20"/>
        </w:rPr>
      </w:pPr>
      <w:r w:rsidRPr="00956DCD">
        <w:rPr>
          <w:rFonts w:ascii="Arial Black" w:hAnsi="Arial Black" w:cs="Arial"/>
          <w:b/>
          <w:sz w:val="20"/>
          <w:szCs w:val="20"/>
        </w:rPr>
        <w:t xml:space="preserve">Long-Term Procurement Plan </w:t>
      </w:r>
    </w:p>
    <w:p w:rsidR="00F0676A" w:rsidRPr="00956DCD" w:rsidRDefault="006C79BD">
      <w:pPr>
        <w:spacing w:after="240" w:line="288" w:lineRule="auto"/>
        <w:jc w:val="both"/>
        <w:rPr>
          <w:rFonts w:ascii="Arial" w:hAnsi="Arial" w:cs="Arial"/>
          <w:b/>
          <w:sz w:val="20"/>
          <w:szCs w:val="20"/>
        </w:rPr>
      </w:pPr>
      <w:r w:rsidRPr="00956DCD">
        <w:rPr>
          <w:rFonts w:ascii="Arial" w:hAnsi="Arial" w:cs="Arial"/>
          <w:sz w:val="20"/>
          <w:szCs w:val="20"/>
        </w:rPr>
        <w:t>ORA reviewed the utilities’ procurement plans, which forecast their load and energy resource needs</w:t>
      </w:r>
      <w:r w:rsidR="00D84166">
        <w:rPr>
          <w:rFonts w:ascii="Arial" w:hAnsi="Arial" w:cs="Arial"/>
          <w:sz w:val="20"/>
          <w:szCs w:val="20"/>
        </w:rPr>
        <w:t xml:space="preserve"> </w:t>
      </w:r>
      <w:r w:rsidRPr="00956DCD">
        <w:rPr>
          <w:rFonts w:ascii="Arial" w:hAnsi="Arial" w:cs="Arial"/>
          <w:sz w:val="20"/>
          <w:szCs w:val="20"/>
        </w:rPr>
        <w:t>for the 2014</w:t>
      </w:r>
      <w:r w:rsidR="00793B77">
        <w:rPr>
          <w:rFonts w:ascii="Arial" w:hAnsi="Arial" w:cs="Arial"/>
          <w:sz w:val="20"/>
          <w:szCs w:val="20"/>
        </w:rPr>
        <w:t xml:space="preserve"> </w:t>
      </w:r>
      <w:r w:rsidRPr="00956DCD">
        <w:rPr>
          <w:rFonts w:ascii="Arial" w:hAnsi="Arial" w:cs="Arial"/>
          <w:sz w:val="20"/>
          <w:szCs w:val="20"/>
        </w:rPr>
        <w:t>-</w:t>
      </w:r>
      <w:r w:rsidR="00793B77">
        <w:rPr>
          <w:rFonts w:ascii="Arial" w:hAnsi="Arial" w:cs="Arial"/>
          <w:sz w:val="20"/>
          <w:szCs w:val="20"/>
        </w:rPr>
        <w:t xml:space="preserve"> </w:t>
      </w:r>
      <w:r w:rsidRPr="00956DCD">
        <w:rPr>
          <w:rFonts w:ascii="Arial" w:hAnsi="Arial" w:cs="Arial"/>
          <w:sz w:val="20"/>
          <w:szCs w:val="20"/>
        </w:rPr>
        <w:t xml:space="preserve">2024 period. ORA advocated that the utilities’ procurement plans should comport with state law as well as </w:t>
      </w:r>
      <w:r w:rsidR="007C1629">
        <w:rPr>
          <w:rFonts w:ascii="Arial" w:hAnsi="Arial" w:cs="Arial"/>
          <w:sz w:val="20"/>
          <w:szCs w:val="20"/>
        </w:rPr>
        <w:t xml:space="preserve">with </w:t>
      </w:r>
      <w:r w:rsidRPr="00956DCD">
        <w:rPr>
          <w:rFonts w:ascii="Arial" w:hAnsi="Arial" w:cs="Arial"/>
          <w:sz w:val="20"/>
          <w:szCs w:val="20"/>
        </w:rPr>
        <w:t>CPUC rules and guidelines. This includes implementing a risk management policy, and</w:t>
      </w:r>
      <w:r w:rsidR="00E57FCE">
        <w:rPr>
          <w:rFonts w:ascii="Arial" w:hAnsi="Arial" w:cs="Arial"/>
          <w:sz w:val="20"/>
          <w:szCs w:val="20"/>
        </w:rPr>
        <w:t xml:space="preserve"> </w:t>
      </w:r>
      <w:r w:rsidR="009227F5">
        <w:rPr>
          <w:rFonts w:ascii="Arial" w:hAnsi="Arial" w:cs="Arial"/>
          <w:sz w:val="20"/>
          <w:szCs w:val="20"/>
        </w:rPr>
        <w:br/>
      </w:r>
      <w:r w:rsidR="009227F5">
        <w:rPr>
          <w:rFonts w:ascii="Arial" w:hAnsi="Arial" w:cs="Arial"/>
          <w:sz w:val="20"/>
          <w:szCs w:val="20"/>
        </w:rPr>
        <w:lastRenderedPageBreak/>
        <w:br/>
      </w:r>
      <w:r w:rsidRPr="00956DCD">
        <w:rPr>
          <w:rFonts w:ascii="Arial" w:hAnsi="Arial" w:cs="Arial"/>
          <w:sz w:val="20"/>
          <w:szCs w:val="20"/>
        </w:rPr>
        <w:t xml:space="preserve">establishing an independent review of the utilities’ hedging plans to enhance regulatory oversight. Given the CPUC’s desire to continue to rely on modeling outputs for resource planning, ORA supports the CPUC’s proposed plan to shift focus to refining modeling assumptions and definitions in preparation for the 2016 process. The CPUC should build stakeholder consensus and standardize modeling </w:t>
      </w:r>
      <w:r w:rsidR="00D91380">
        <w:rPr>
          <w:rFonts w:ascii="Arial" w:hAnsi="Arial" w:cs="Arial"/>
          <w:sz w:val="20"/>
          <w:szCs w:val="20"/>
        </w:rPr>
        <w:t>definitions, inputs, and assumptions</w:t>
      </w:r>
      <w:r w:rsidRPr="00956DCD">
        <w:rPr>
          <w:rFonts w:ascii="Arial" w:hAnsi="Arial" w:cs="Arial"/>
          <w:sz w:val="20"/>
          <w:szCs w:val="20"/>
        </w:rPr>
        <w:t xml:space="preserve"> in order to achieve modeling results that are </w:t>
      </w:r>
      <w:r w:rsidR="00793B77">
        <w:rPr>
          <w:rFonts w:ascii="Arial" w:hAnsi="Arial" w:cs="Arial"/>
          <w:sz w:val="20"/>
          <w:szCs w:val="20"/>
        </w:rPr>
        <w:t xml:space="preserve">the </w:t>
      </w:r>
      <w:r w:rsidRPr="00956DCD">
        <w:rPr>
          <w:rFonts w:ascii="Arial" w:hAnsi="Arial" w:cs="Arial"/>
          <w:sz w:val="20"/>
          <w:szCs w:val="20"/>
        </w:rPr>
        <w:t xml:space="preserve">most useful in procuring the right amount of resources for actual need. </w:t>
      </w:r>
    </w:p>
    <w:p w:rsidR="006C79BD" w:rsidRPr="00956DCD" w:rsidRDefault="006C79BD" w:rsidP="00720D4F">
      <w:pPr>
        <w:pStyle w:val="Default"/>
        <w:spacing w:after="120" w:line="288" w:lineRule="auto"/>
        <w:jc w:val="both"/>
        <w:rPr>
          <w:rFonts w:ascii="Arial Black" w:hAnsi="Arial Black" w:cs="Arial"/>
          <w:b/>
          <w:sz w:val="20"/>
          <w:szCs w:val="20"/>
        </w:rPr>
      </w:pPr>
      <w:r w:rsidRPr="00956DCD">
        <w:rPr>
          <w:rFonts w:ascii="Arial Black" w:hAnsi="Arial Black" w:cs="Arial"/>
          <w:b/>
          <w:sz w:val="20"/>
          <w:szCs w:val="20"/>
        </w:rPr>
        <w:t>Local Capacity - Edison</w:t>
      </w:r>
    </w:p>
    <w:p w:rsidR="00747015" w:rsidRDefault="006C79BD" w:rsidP="00747015">
      <w:pPr>
        <w:pStyle w:val="Default"/>
        <w:spacing w:after="240" w:line="288" w:lineRule="auto"/>
        <w:ind w:firstLine="720"/>
        <w:jc w:val="both"/>
        <w:rPr>
          <w:rFonts w:ascii="Arial" w:hAnsi="Arial" w:cs="Arial"/>
          <w:sz w:val="20"/>
          <w:szCs w:val="20"/>
        </w:rPr>
      </w:pPr>
      <w:r w:rsidRPr="00956DCD">
        <w:rPr>
          <w:rFonts w:ascii="Arial" w:hAnsi="Arial" w:cs="Arial"/>
          <w:sz w:val="20"/>
          <w:szCs w:val="20"/>
        </w:rPr>
        <w:t>ORA generally supports the CPUC’s decision to approve procurement of local capacity in Edison’s Western Los Angeles Basin subarea to ensure reliability in the wake of the SONGS closure. The CPUC adopted ORA’s recommendation to deny six Demand Response contracts because they rely on gas-fired generation and do not comport with the state’s goals to use preferred resources</w:t>
      </w:r>
      <w:r w:rsidR="00F2325E">
        <w:rPr>
          <w:rFonts w:ascii="Arial" w:hAnsi="Arial" w:cs="Arial"/>
          <w:sz w:val="20"/>
          <w:szCs w:val="20"/>
        </w:rPr>
        <w:t xml:space="preserve"> to achieve load reduction,</w:t>
      </w:r>
      <w:r w:rsidRPr="00956DCD">
        <w:rPr>
          <w:rFonts w:ascii="Arial" w:hAnsi="Arial" w:cs="Arial"/>
          <w:sz w:val="20"/>
          <w:szCs w:val="20"/>
        </w:rPr>
        <w:t xml:space="preserve"> such as demand-side strategies</w:t>
      </w:r>
      <w:r w:rsidR="00201296">
        <w:rPr>
          <w:rFonts w:ascii="Arial" w:hAnsi="Arial" w:cs="Arial"/>
          <w:sz w:val="20"/>
          <w:szCs w:val="20"/>
        </w:rPr>
        <w:t>, which can</w:t>
      </w:r>
      <w:r w:rsidRPr="00956DCD">
        <w:rPr>
          <w:rFonts w:ascii="Arial" w:hAnsi="Arial" w:cs="Arial"/>
          <w:sz w:val="20"/>
          <w:szCs w:val="20"/>
        </w:rPr>
        <w:t xml:space="preserve"> reduce greenhouse gas emissions. </w:t>
      </w:r>
    </w:p>
    <w:p w:rsidR="00E57FCE" w:rsidRDefault="007F0EA2" w:rsidP="00B654C6">
      <w:pPr>
        <w:pStyle w:val="Default"/>
        <w:spacing w:after="240" w:line="288" w:lineRule="auto"/>
        <w:ind w:firstLine="720"/>
        <w:jc w:val="both"/>
        <w:rPr>
          <w:rFonts w:ascii="Arial Black" w:hAnsi="Arial Black" w:cs="Arial"/>
          <w:b/>
          <w:sz w:val="20"/>
          <w:szCs w:val="20"/>
        </w:rPr>
      </w:pPr>
      <w:r>
        <w:rPr>
          <w:rFonts w:ascii="Arial" w:hAnsi="Arial" w:cs="Arial"/>
          <w:sz w:val="20"/>
          <w:szCs w:val="20"/>
        </w:rPr>
        <w:t xml:space="preserve">ORA also supports local capacity procurement in the Moorpark subarea with the exception of a long-term contract for the </w:t>
      </w:r>
      <w:r>
        <w:rPr>
          <w:rFonts w:ascii="Arial" w:hAnsi="Arial" w:cs="Arial"/>
          <w:i/>
          <w:iCs/>
          <w:sz w:val="20"/>
          <w:szCs w:val="20"/>
        </w:rPr>
        <w:t>existing</w:t>
      </w:r>
      <w:r>
        <w:rPr>
          <w:rFonts w:ascii="Arial" w:hAnsi="Arial" w:cs="Arial"/>
          <w:sz w:val="20"/>
          <w:szCs w:val="20"/>
        </w:rPr>
        <w:t xml:space="preserve"> Ellwood peaker plant</w:t>
      </w:r>
      <w:r w:rsidR="00BA2AB2">
        <w:rPr>
          <w:rFonts w:ascii="Arial" w:hAnsi="Arial" w:cs="Arial"/>
          <w:sz w:val="20"/>
          <w:szCs w:val="20"/>
        </w:rPr>
        <w:t>,</w:t>
      </w:r>
      <w:r>
        <w:rPr>
          <w:rFonts w:ascii="Arial" w:hAnsi="Arial" w:cs="Arial"/>
          <w:sz w:val="20"/>
          <w:szCs w:val="20"/>
        </w:rPr>
        <w:t xml:space="preserve"> which is at above-market prices. </w:t>
      </w:r>
      <w:r>
        <w:rPr>
          <w:rFonts w:ascii="Arial" w:hAnsi="Arial" w:cs="Arial"/>
          <w:color w:val="auto"/>
          <w:sz w:val="20"/>
          <w:szCs w:val="20"/>
        </w:rPr>
        <w:t>If Moorpark is approved, it</w:t>
      </w:r>
      <w:r>
        <w:rPr>
          <w:rFonts w:ascii="Arial" w:hAnsi="Arial" w:cs="Arial"/>
          <w:color w:val="FF0000"/>
          <w:sz w:val="20"/>
          <w:szCs w:val="20"/>
        </w:rPr>
        <w:t xml:space="preserve"> </w:t>
      </w:r>
      <w:r>
        <w:rPr>
          <w:rFonts w:ascii="Arial" w:hAnsi="Arial" w:cs="Arial"/>
          <w:sz w:val="20"/>
          <w:szCs w:val="20"/>
        </w:rPr>
        <w:t xml:space="preserve">would contradict the CPUC’s rules that are designed to allow higher prices for </w:t>
      </w:r>
      <w:r>
        <w:rPr>
          <w:rFonts w:ascii="Arial" w:hAnsi="Arial" w:cs="Arial"/>
          <w:i/>
          <w:iCs/>
          <w:sz w:val="20"/>
          <w:szCs w:val="20"/>
        </w:rPr>
        <w:t xml:space="preserve">new </w:t>
      </w:r>
      <w:r>
        <w:rPr>
          <w:rFonts w:ascii="Arial" w:hAnsi="Arial" w:cs="Arial"/>
          <w:sz w:val="20"/>
          <w:szCs w:val="20"/>
        </w:rPr>
        <w:t>resources because, unlike existing resources, they require substantial investment. As a result, ratepayers would pay more than they should to replace SONGS capacity. A CPUC decision on Moorpark is expected in early 2016.</w:t>
      </w:r>
    </w:p>
    <w:p w:rsidR="006C79BD" w:rsidRPr="00956DCD" w:rsidRDefault="006C79BD" w:rsidP="00F0676A">
      <w:pPr>
        <w:pStyle w:val="NormalWeb"/>
        <w:spacing w:after="120" w:line="288" w:lineRule="auto"/>
        <w:rPr>
          <w:rFonts w:ascii="Arial Black" w:hAnsi="Arial Black" w:cs="Arial"/>
          <w:b/>
          <w:sz w:val="20"/>
          <w:szCs w:val="20"/>
        </w:rPr>
      </w:pPr>
      <w:r w:rsidRPr="00956DCD">
        <w:rPr>
          <w:rFonts w:ascii="Arial Black" w:hAnsi="Arial Black" w:cs="Arial"/>
          <w:b/>
          <w:sz w:val="20"/>
          <w:szCs w:val="20"/>
        </w:rPr>
        <w:t xml:space="preserve">Carlsbad Power Plant – SDG&amp;E </w:t>
      </w:r>
    </w:p>
    <w:p w:rsidR="006C79BD" w:rsidRPr="00956DCD" w:rsidRDefault="006C79BD" w:rsidP="00CF2365">
      <w:pPr>
        <w:pStyle w:val="BodyTextNoIndent"/>
        <w:spacing w:after="240" w:line="288" w:lineRule="auto"/>
        <w:ind w:firstLine="720"/>
        <w:rPr>
          <w:color w:val="auto"/>
        </w:rPr>
      </w:pPr>
      <w:r w:rsidRPr="00956DCD">
        <w:rPr>
          <w:color w:val="auto"/>
        </w:rPr>
        <w:t xml:space="preserve">ORA reviewed SDG&amp;E’s request to contract with the Carlsbad Energy Center for 600 </w:t>
      </w:r>
      <w:r w:rsidR="000511EC">
        <w:rPr>
          <w:color w:val="auto"/>
        </w:rPr>
        <w:t>megawatts (</w:t>
      </w:r>
      <w:r w:rsidRPr="00956DCD">
        <w:rPr>
          <w:color w:val="auto"/>
        </w:rPr>
        <w:t>MW</w:t>
      </w:r>
      <w:r w:rsidR="000511EC">
        <w:rPr>
          <w:color w:val="auto"/>
        </w:rPr>
        <w:t>)</w:t>
      </w:r>
      <w:r w:rsidRPr="00956DCD">
        <w:rPr>
          <w:color w:val="auto"/>
        </w:rPr>
        <w:t xml:space="preserve"> of power, which SDG&amp;E asserted is necessary to meet reliability due to the planned 2017 retirement of the Encina Power station. ORA’s analysis showed that based on approved CPUC long-term procurement plans that SDG&amp;E does not need additional resources until at least 2022. Moreover, the CPUC originally ordered SDG&amp;E to first seek needed resources through a competitive process, yet SDG&amp;E sought to contract</w:t>
      </w:r>
      <w:r w:rsidR="00793B77">
        <w:rPr>
          <w:color w:val="auto"/>
        </w:rPr>
        <w:t xml:space="preserve"> </w:t>
      </w:r>
      <w:r w:rsidRPr="00956DCD">
        <w:rPr>
          <w:color w:val="auto"/>
        </w:rPr>
        <w:t xml:space="preserve">directly with Carlsbad without any transparent </w:t>
      </w:r>
      <w:r w:rsidR="009227F5">
        <w:rPr>
          <w:color w:val="auto"/>
        </w:rPr>
        <w:br/>
      </w:r>
      <w:r w:rsidR="009227F5">
        <w:rPr>
          <w:color w:val="auto"/>
        </w:rPr>
        <w:lastRenderedPageBreak/>
        <w:br/>
      </w:r>
      <w:r w:rsidRPr="00956DCD">
        <w:rPr>
          <w:color w:val="auto"/>
        </w:rPr>
        <w:t>vetting process. ORA’s analysis shows that</w:t>
      </w:r>
      <w:r w:rsidR="00BF139A">
        <w:rPr>
          <w:color w:val="auto"/>
        </w:rPr>
        <w:t>,</w:t>
      </w:r>
      <w:r w:rsidRPr="00956DCD">
        <w:rPr>
          <w:color w:val="auto"/>
        </w:rPr>
        <w:t xml:space="preserve"> through a </w:t>
      </w:r>
      <w:r w:rsidR="00095937">
        <w:rPr>
          <w:color w:val="auto"/>
        </w:rPr>
        <w:br/>
      </w:r>
      <w:r w:rsidRPr="00956DCD">
        <w:rPr>
          <w:color w:val="auto"/>
        </w:rPr>
        <w:t>Request for Offer bidding process</w:t>
      </w:r>
      <w:r w:rsidR="00BF139A">
        <w:rPr>
          <w:color w:val="auto"/>
        </w:rPr>
        <w:t>,</w:t>
      </w:r>
      <w:r w:rsidRPr="00956DCD">
        <w:rPr>
          <w:color w:val="auto"/>
        </w:rPr>
        <w:t xml:space="preserve"> clean energy resources are competitive with traditional resources, and can keep ratepayer costs lower. The CPUC’s approval of the Carlsbad contract will result in decades of reliance on a gas-fired power plant rather than fulfilling future need with clean energ</w:t>
      </w:r>
      <w:r w:rsidR="000511EC">
        <w:rPr>
          <w:color w:val="auto"/>
        </w:rPr>
        <w:t xml:space="preserve">y resources, which would be </w:t>
      </w:r>
      <w:r w:rsidRPr="00956DCD">
        <w:rPr>
          <w:color w:val="auto"/>
        </w:rPr>
        <w:t xml:space="preserve">a more effective strategy to achieve the state’s aggressive climate goals. In its final decision, the CPUC reduced the Carlsbad contract </w:t>
      </w:r>
      <w:r w:rsidR="000511EC">
        <w:rPr>
          <w:color w:val="auto"/>
        </w:rPr>
        <w:t xml:space="preserve">from </w:t>
      </w:r>
      <w:r w:rsidRPr="00956DCD">
        <w:rPr>
          <w:color w:val="auto"/>
        </w:rPr>
        <w:t>600 MW to 500 MW, which will save customers hundreds of millions of dollars.</w:t>
      </w:r>
    </w:p>
    <w:p w:rsidR="006C79BD" w:rsidRPr="00956DCD" w:rsidRDefault="006C79BD" w:rsidP="00720D4F">
      <w:pPr>
        <w:pStyle w:val="BodyTextNoIndent"/>
        <w:spacing w:line="288" w:lineRule="auto"/>
        <w:rPr>
          <w:rFonts w:ascii="Arial Black" w:hAnsi="Arial Black"/>
          <w:b/>
        </w:rPr>
      </w:pPr>
      <w:r w:rsidRPr="00956DCD">
        <w:rPr>
          <w:rFonts w:ascii="Arial Black" w:hAnsi="Arial Black"/>
          <w:b/>
        </w:rPr>
        <w:t xml:space="preserve">Resource Adequacy </w:t>
      </w:r>
    </w:p>
    <w:p w:rsidR="006C79BD" w:rsidRPr="00956DCD" w:rsidRDefault="006C79BD" w:rsidP="00203BDA">
      <w:pPr>
        <w:spacing w:after="120" w:line="288" w:lineRule="auto"/>
        <w:ind w:firstLine="720"/>
        <w:jc w:val="both"/>
        <w:rPr>
          <w:rFonts w:ascii="Arial" w:hAnsi="Arial" w:cs="Arial"/>
          <w:sz w:val="20"/>
          <w:szCs w:val="20"/>
        </w:rPr>
      </w:pPr>
      <w:r w:rsidRPr="00956DCD">
        <w:rPr>
          <w:rFonts w:ascii="Arial" w:hAnsi="Arial" w:cs="Arial"/>
          <w:sz w:val="20"/>
          <w:szCs w:val="20"/>
        </w:rPr>
        <w:t>ORA advocates that the Resource Adequacy program, a one-year ahead look to ensure a reliable and cost-effective supply of electricity generation in California, will work best when all electric energy resources are allowed to participate in the Resource Adequacy market</w:t>
      </w:r>
      <w:r w:rsidR="006A6636">
        <w:rPr>
          <w:rFonts w:ascii="Arial" w:hAnsi="Arial" w:cs="Arial"/>
          <w:sz w:val="20"/>
          <w:szCs w:val="20"/>
        </w:rPr>
        <w:t xml:space="preserve">. </w:t>
      </w:r>
      <w:r w:rsidR="00A5262A">
        <w:rPr>
          <w:rFonts w:ascii="Arial" w:hAnsi="Arial" w:cs="Arial"/>
          <w:sz w:val="20"/>
          <w:szCs w:val="20"/>
        </w:rPr>
        <w:t xml:space="preserve">Such a competitive market </w:t>
      </w:r>
      <w:r w:rsidRPr="00956DCD">
        <w:rPr>
          <w:rFonts w:ascii="Arial" w:hAnsi="Arial" w:cs="Arial"/>
          <w:sz w:val="20"/>
          <w:szCs w:val="20"/>
        </w:rPr>
        <w:t xml:space="preserve">will reduce costs for customers. ORA’s objective </w:t>
      </w:r>
      <w:r w:rsidR="00C65E63">
        <w:rPr>
          <w:rFonts w:ascii="Arial" w:hAnsi="Arial" w:cs="Arial"/>
          <w:sz w:val="20"/>
          <w:szCs w:val="20"/>
        </w:rPr>
        <w:t>for the Resource Adequacy</w:t>
      </w:r>
      <w:r w:rsidRPr="00956DCD">
        <w:rPr>
          <w:rFonts w:ascii="Arial" w:hAnsi="Arial" w:cs="Arial"/>
          <w:sz w:val="20"/>
          <w:szCs w:val="20"/>
        </w:rPr>
        <w:t xml:space="preserve"> process is for the state to maintain electricity reliability in the most cost-effective manner. In 2015, ORA urged the CPUC to create </w:t>
      </w:r>
      <w:r w:rsidR="007C1629">
        <w:rPr>
          <w:rFonts w:ascii="Arial" w:hAnsi="Arial" w:cs="Arial"/>
          <w:sz w:val="20"/>
          <w:szCs w:val="20"/>
        </w:rPr>
        <w:t xml:space="preserve">Resource Adequacy </w:t>
      </w:r>
      <w:r w:rsidRPr="00956DCD">
        <w:rPr>
          <w:rFonts w:ascii="Arial" w:hAnsi="Arial" w:cs="Arial"/>
          <w:sz w:val="20"/>
          <w:szCs w:val="20"/>
        </w:rPr>
        <w:t>policies for non-polluting resources that both contribute to system reliability and reduce greenhouse gas emissions. ORA advocated for changes to the Resource Adequacy program that will calculate the full contributions</w:t>
      </w:r>
      <w:r w:rsidR="00B1746C">
        <w:rPr>
          <w:rFonts w:ascii="Arial" w:hAnsi="Arial" w:cs="Arial"/>
          <w:sz w:val="20"/>
          <w:szCs w:val="20"/>
        </w:rPr>
        <w:t xml:space="preserve"> </w:t>
      </w:r>
      <w:r w:rsidRPr="00956DCD">
        <w:rPr>
          <w:rFonts w:ascii="Arial" w:hAnsi="Arial" w:cs="Arial"/>
          <w:sz w:val="20"/>
          <w:szCs w:val="20"/>
        </w:rPr>
        <w:t>of </w:t>
      </w:r>
      <w:r w:rsidRPr="00956DCD">
        <w:rPr>
          <w:rFonts w:ascii="Arial" w:hAnsi="Arial" w:cs="Arial"/>
          <w:bCs/>
          <w:sz w:val="20"/>
          <w:szCs w:val="20"/>
        </w:rPr>
        <w:t>Energy Storage, Demand Response programs, and renewable resources</w:t>
      </w:r>
      <w:r w:rsidRPr="00956DCD">
        <w:rPr>
          <w:rFonts w:ascii="Arial" w:hAnsi="Arial" w:cs="Arial"/>
          <w:sz w:val="20"/>
          <w:szCs w:val="20"/>
        </w:rPr>
        <w:t xml:space="preserve">. </w:t>
      </w:r>
      <w:r w:rsidR="00607890" w:rsidRPr="00146AB4">
        <w:rPr>
          <w:rFonts w:ascii="Arial" w:hAnsi="Arial" w:cs="Arial"/>
          <w:sz w:val="20"/>
          <w:szCs w:val="20"/>
        </w:rPr>
        <w:t xml:space="preserve">The CPUC should utilize </w:t>
      </w:r>
      <w:r w:rsidR="009F39AF" w:rsidRPr="00146AB4">
        <w:rPr>
          <w:rFonts w:ascii="Arial" w:hAnsi="Arial" w:cs="Arial"/>
          <w:sz w:val="20"/>
          <w:szCs w:val="20"/>
        </w:rPr>
        <w:t xml:space="preserve">stakeholder input and </w:t>
      </w:r>
      <w:r w:rsidRPr="00146AB4">
        <w:rPr>
          <w:rFonts w:ascii="Arial" w:hAnsi="Arial" w:cs="Arial"/>
          <w:sz w:val="20"/>
          <w:szCs w:val="20"/>
        </w:rPr>
        <w:t xml:space="preserve">robust analysis to </w:t>
      </w:r>
      <w:r w:rsidR="00607890" w:rsidRPr="00146AB4">
        <w:rPr>
          <w:rFonts w:ascii="Arial" w:hAnsi="Arial" w:cs="Arial"/>
          <w:sz w:val="20"/>
          <w:szCs w:val="20"/>
        </w:rPr>
        <w:t xml:space="preserve">ensure that </w:t>
      </w:r>
      <w:r w:rsidR="00933F6A" w:rsidRPr="00146AB4">
        <w:rPr>
          <w:rFonts w:ascii="Arial" w:hAnsi="Arial" w:cs="Arial"/>
          <w:sz w:val="20"/>
          <w:szCs w:val="20"/>
        </w:rPr>
        <w:t xml:space="preserve">all </w:t>
      </w:r>
      <w:r w:rsidR="00607890" w:rsidRPr="00146AB4">
        <w:rPr>
          <w:rFonts w:ascii="Arial" w:hAnsi="Arial" w:cs="Arial"/>
          <w:sz w:val="20"/>
          <w:szCs w:val="20"/>
        </w:rPr>
        <w:t>resources are fully counted toward the Resource Adequacy requirement</w:t>
      </w:r>
      <w:r w:rsidR="006E414C" w:rsidRPr="00146AB4">
        <w:rPr>
          <w:rFonts w:ascii="Arial" w:hAnsi="Arial" w:cs="Arial"/>
          <w:sz w:val="20"/>
          <w:szCs w:val="20"/>
        </w:rPr>
        <w:t>.</w:t>
      </w:r>
      <w:r w:rsidR="006E414C">
        <w:rPr>
          <w:rFonts w:ascii="Arial" w:hAnsi="Arial" w:cs="Arial"/>
          <w:sz w:val="20"/>
          <w:szCs w:val="20"/>
        </w:rPr>
        <w:t xml:space="preserve"> Additionally, the CPUC should</w:t>
      </w:r>
      <w:r w:rsidRPr="00956DCD">
        <w:rPr>
          <w:rFonts w:ascii="Arial" w:hAnsi="Arial" w:cs="Arial"/>
          <w:sz w:val="20"/>
          <w:szCs w:val="20"/>
        </w:rPr>
        <w:t xml:space="preserve"> relax Resource Adequacy restrictions against resources that cannot operate for four continuous hours due to their unique production characteristics</w:t>
      </w:r>
      <w:r w:rsidR="005B13A9" w:rsidRPr="005B13A9">
        <w:rPr>
          <w:rFonts w:ascii="Arial" w:hAnsi="Arial" w:cs="Arial"/>
          <w:sz w:val="20"/>
          <w:szCs w:val="20"/>
        </w:rPr>
        <w:t>, which will allow for greater participation from resources such as energy storage and demand response. This approach may lower ratepayer costs and will assist in meeting California’s environmental goals.</w:t>
      </w:r>
    </w:p>
    <w:p w:rsidR="006C79BD" w:rsidRPr="00956DCD" w:rsidRDefault="006C79BD" w:rsidP="00720D4F">
      <w:pPr>
        <w:spacing w:after="120" w:line="288" w:lineRule="auto"/>
        <w:jc w:val="both"/>
        <w:rPr>
          <w:rFonts w:ascii="Arial" w:hAnsi="Arial" w:cs="Arial"/>
          <w:sz w:val="20"/>
          <w:szCs w:val="20"/>
        </w:rPr>
      </w:pPr>
    </w:p>
    <w:p w:rsidR="006C79BD" w:rsidRPr="00C67797" w:rsidRDefault="006C79BD" w:rsidP="00F0676A">
      <w:pPr>
        <w:pStyle w:val="BodyTextNoIndent"/>
        <w:spacing w:line="288" w:lineRule="auto"/>
        <w:jc w:val="left"/>
        <w:rPr>
          <w:rFonts w:ascii="Arial Black" w:hAnsi="Arial Black"/>
          <w:b/>
          <w:color w:val="4F81BD" w:themeColor="accent1"/>
          <w:sz w:val="22"/>
        </w:rPr>
      </w:pPr>
      <w:r w:rsidRPr="00C67797">
        <w:rPr>
          <w:rFonts w:ascii="Arial Black" w:hAnsi="Arial Black"/>
          <w:b/>
          <w:color w:val="4F81BD" w:themeColor="accent1"/>
          <w:sz w:val="22"/>
        </w:rPr>
        <w:t xml:space="preserve">Renewable Portfolio Standard (RPS) </w:t>
      </w:r>
    </w:p>
    <w:p w:rsidR="006C79BD" w:rsidRPr="00956DCD" w:rsidRDefault="006C79BD" w:rsidP="00CF2365">
      <w:pPr>
        <w:spacing w:after="120" w:line="288" w:lineRule="auto"/>
        <w:ind w:firstLine="720"/>
        <w:jc w:val="both"/>
        <w:rPr>
          <w:rFonts w:ascii="Arial" w:hAnsi="Arial" w:cs="Arial"/>
          <w:sz w:val="20"/>
          <w:szCs w:val="20"/>
        </w:rPr>
      </w:pPr>
      <w:r w:rsidRPr="00956DCD">
        <w:rPr>
          <w:rFonts w:ascii="Arial" w:hAnsi="Arial" w:cs="Arial"/>
          <w:sz w:val="20"/>
          <w:szCs w:val="20"/>
        </w:rPr>
        <w:t xml:space="preserve">ORA supports a higher renewable energy target to support the state’s immediate greenhouse gas (GHG) emission reduction goals for 2020, as well as </w:t>
      </w:r>
      <w:r w:rsidR="000F00F1">
        <w:rPr>
          <w:rFonts w:ascii="Arial" w:hAnsi="Arial" w:cs="Arial"/>
          <w:sz w:val="20"/>
          <w:szCs w:val="20"/>
        </w:rPr>
        <w:t>to address</w:t>
      </w:r>
      <w:r w:rsidRPr="00956DCD">
        <w:rPr>
          <w:rFonts w:ascii="Arial" w:hAnsi="Arial" w:cs="Arial"/>
          <w:sz w:val="20"/>
          <w:szCs w:val="20"/>
        </w:rPr>
        <w:t xml:space="preserve"> more aggressive goals to reduce GHG </w:t>
      </w:r>
      <w:r w:rsidR="009227F5">
        <w:rPr>
          <w:rFonts w:ascii="Arial" w:hAnsi="Arial" w:cs="Arial"/>
          <w:sz w:val="20"/>
          <w:szCs w:val="20"/>
        </w:rPr>
        <w:br/>
      </w:r>
      <w:r w:rsidR="009227F5">
        <w:rPr>
          <w:rFonts w:ascii="Arial" w:hAnsi="Arial" w:cs="Arial"/>
          <w:sz w:val="20"/>
          <w:szCs w:val="20"/>
        </w:rPr>
        <w:lastRenderedPageBreak/>
        <w:br/>
      </w:r>
      <w:r w:rsidRPr="00956DCD">
        <w:rPr>
          <w:rFonts w:ascii="Arial" w:hAnsi="Arial" w:cs="Arial"/>
          <w:sz w:val="20"/>
          <w:szCs w:val="20"/>
        </w:rPr>
        <w:t xml:space="preserve">emissions to 80% below 1990 levels by 2050. ORA advocates for a holistic approach to achieve these significant goals by counting GHG reductions from all clean energy programs, such as energy efficiency and zero-emission vehicles. </w:t>
      </w:r>
    </w:p>
    <w:p w:rsidR="006C79BD" w:rsidRPr="00956DCD" w:rsidRDefault="006C79BD" w:rsidP="00BA2AB2">
      <w:pPr>
        <w:spacing w:after="120" w:line="288" w:lineRule="auto"/>
        <w:ind w:firstLine="720"/>
        <w:jc w:val="both"/>
        <w:rPr>
          <w:rFonts w:ascii="Arial" w:hAnsi="Arial" w:cs="Arial"/>
          <w:color w:val="4F81BD" w:themeColor="accent1"/>
          <w:sz w:val="20"/>
          <w:szCs w:val="20"/>
        </w:rPr>
      </w:pPr>
      <w:r w:rsidRPr="00956DCD">
        <w:rPr>
          <w:rFonts w:ascii="Arial" w:hAnsi="Arial" w:cs="Arial"/>
          <w:sz w:val="20"/>
          <w:szCs w:val="20"/>
        </w:rPr>
        <w:t xml:space="preserve">In 2015, ORA advocated for policies that are consistent with SB 350’s mandate to contain costs for </w:t>
      </w:r>
      <w:r w:rsidR="00BA2AB2">
        <w:rPr>
          <w:rFonts w:ascii="Arial" w:hAnsi="Arial" w:cs="Arial"/>
          <w:sz w:val="20"/>
          <w:szCs w:val="20"/>
        </w:rPr>
        <w:t>Renewable Portfolio Standard (</w:t>
      </w:r>
      <w:r w:rsidRPr="00956DCD">
        <w:rPr>
          <w:rFonts w:ascii="Arial" w:hAnsi="Arial" w:cs="Arial"/>
          <w:sz w:val="20"/>
          <w:szCs w:val="20"/>
        </w:rPr>
        <w:t>RPS</w:t>
      </w:r>
      <w:r w:rsidR="00BA2AB2">
        <w:rPr>
          <w:rFonts w:ascii="Arial" w:hAnsi="Arial" w:cs="Arial"/>
          <w:sz w:val="20"/>
          <w:szCs w:val="20"/>
        </w:rPr>
        <w:t>)</w:t>
      </w:r>
      <w:r w:rsidRPr="00956DCD">
        <w:rPr>
          <w:rFonts w:ascii="Arial" w:hAnsi="Arial" w:cs="Arial"/>
          <w:sz w:val="20"/>
          <w:szCs w:val="20"/>
        </w:rPr>
        <w:t xml:space="preserve"> compliance strategies, which will both protect ratepayers and promote sustainable program success. ORA analyzed RPS programs and policies to ensure that they comport with the least cost / best fit criteria that guides selection of the most optimal, viable renewable projects. ORA worked with other stakeholders across all related proceedings to develop an RPS Calculator that will provide accurate and timely information</w:t>
      </w:r>
      <w:r w:rsidR="00933F6A" w:rsidRPr="00146AB4">
        <w:rPr>
          <w:rFonts w:ascii="Arial" w:hAnsi="Arial" w:cs="Arial"/>
          <w:sz w:val="20"/>
          <w:szCs w:val="20"/>
        </w:rPr>
        <w:t>. This information will feed in</w:t>
      </w:r>
      <w:r w:rsidRPr="00146AB4">
        <w:rPr>
          <w:rFonts w:ascii="Arial" w:hAnsi="Arial" w:cs="Arial"/>
          <w:sz w:val="20"/>
          <w:szCs w:val="20"/>
        </w:rPr>
        <w:t xml:space="preserve">to the CPUC’s Long Term Procurement Plan in order to </w:t>
      </w:r>
      <w:r w:rsidRPr="00146AB4">
        <w:rPr>
          <w:rFonts w:ascii="Arial" w:hAnsi="Arial" w:cs="Arial"/>
          <w:color w:val="000000"/>
          <w:sz w:val="20"/>
          <w:szCs w:val="20"/>
        </w:rPr>
        <w:t>ensure</w:t>
      </w:r>
      <w:r w:rsidR="00933F6A" w:rsidRPr="00146AB4">
        <w:rPr>
          <w:rFonts w:ascii="Arial" w:hAnsi="Arial" w:cs="Arial"/>
          <w:color w:val="000000"/>
          <w:sz w:val="20"/>
          <w:szCs w:val="20"/>
        </w:rPr>
        <w:t xml:space="preserve"> that resources are available,</w:t>
      </w:r>
      <w:r w:rsidRPr="00146AB4">
        <w:rPr>
          <w:rFonts w:ascii="Arial" w:hAnsi="Arial" w:cs="Arial"/>
          <w:color w:val="000000"/>
          <w:sz w:val="20"/>
          <w:szCs w:val="20"/>
        </w:rPr>
        <w:t xml:space="preserve"> safe, reliable</w:t>
      </w:r>
      <w:r w:rsidR="00933F6A" w:rsidRPr="00146AB4">
        <w:rPr>
          <w:rFonts w:ascii="Arial" w:hAnsi="Arial" w:cs="Arial"/>
          <w:color w:val="000000"/>
          <w:sz w:val="20"/>
          <w:szCs w:val="20"/>
        </w:rPr>
        <w:t xml:space="preserve">, and </w:t>
      </w:r>
      <w:r w:rsidRPr="00146AB4">
        <w:rPr>
          <w:rFonts w:ascii="Arial" w:hAnsi="Arial" w:cs="Arial"/>
          <w:color w:val="000000"/>
          <w:sz w:val="20"/>
          <w:szCs w:val="20"/>
        </w:rPr>
        <w:t>compl</w:t>
      </w:r>
      <w:r w:rsidR="00933F6A" w:rsidRPr="00146AB4">
        <w:rPr>
          <w:rFonts w:ascii="Arial" w:hAnsi="Arial" w:cs="Arial"/>
          <w:color w:val="000000"/>
          <w:sz w:val="20"/>
          <w:szCs w:val="20"/>
        </w:rPr>
        <w:t>y</w:t>
      </w:r>
      <w:r w:rsidRPr="00146AB4">
        <w:rPr>
          <w:rFonts w:ascii="Arial" w:hAnsi="Arial" w:cs="Arial"/>
          <w:color w:val="000000"/>
          <w:sz w:val="20"/>
          <w:szCs w:val="20"/>
        </w:rPr>
        <w:t xml:space="preserve"> with state policies, at</w:t>
      </w:r>
      <w:r w:rsidRPr="00146AB4">
        <w:rPr>
          <w:rFonts w:ascii="Arial" w:hAnsi="Arial" w:cs="Arial"/>
          <w:sz w:val="20"/>
          <w:szCs w:val="20"/>
        </w:rPr>
        <w:t xml:space="preserve"> the least possible cost to ratepayers.</w:t>
      </w:r>
      <w:r w:rsidRPr="00956DCD">
        <w:rPr>
          <w:rFonts w:ascii="Arial" w:hAnsi="Arial" w:cs="Arial"/>
          <w:sz w:val="20"/>
          <w:szCs w:val="20"/>
        </w:rPr>
        <w:t xml:space="preserve"> ORA supports the effort</w:t>
      </w:r>
      <w:r w:rsidR="00BA2AB2">
        <w:rPr>
          <w:rFonts w:ascii="Arial" w:hAnsi="Arial" w:cs="Arial"/>
          <w:sz w:val="20"/>
          <w:szCs w:val="20"/>
        </w:rPr>
        <w:t>s</w:t>
      </w:r>
      <w:r w:rsidRPr="00956DCD">
        <w:rPr>
          <w:rFonts w:ascii="Arial" w:hAnsi="Arial" w:cs="Arial"/>
          <w:sz w:val="20"/>
          <w:szCs w:val="20"/>
        </w:rPr>
        <w:t xml:space="preserve"> of the CPUC, the California Air Resources Board, the Energy Commission, and the Independent System Operator to coordinate development of a 2050 GHG framework where program performance and costs are optimized. </w:t>
      </w:r>
    </w:p>
    <w:p w:rsidR="006C79BD" w:rsidRPr="00956DCD" w:rsidRDefault="006C79BD" w:rsidP="00720D4F">
      <w:pPr>
        <w:pStyle w:val="GreyHeading2StyleGroup1"/>
        <w:spacing w:line="288" w:lineRule="auto"/>
        <w:rPr>
          <w:color w:val="4F81BD" w:themeColor="accent1"/>
        </w:rPr>
      </w:pPr>
    </w:p>
    <w:p w:rsidR="006C79BD" w:rsidRPr="00C67797" w:rsidRDefault="006C79BD" w:rsidP="00F0676A">
      <w:pPr>
        <w:pStyle w:val="GreyHeading2StyleGroup1"/>
        <w:spacing w:line="288" w:lineRule="auto"/>
        <w:jc w:val="left"/>
        <w:rPr>
          <w:rFonts w:ascii="Arial Black" w:hAnsi="Arial Black"/>
          <w:color w:val="4F81BD" w:themeColor="accent1"/>
          <w:sz w:val="22"/>
        </w:rPr>
      </w:pPr>
      <w:r w:rsidRPr="00C67797">
        <w:rPr>
          <w:rFonts w:ascii="Arial Black" w:hAnsi="Arial Black"/>
          <w:color w:val="4F81BD" w:themeColor="accent1"/>
          <w:sz w:val="22"/>
        </w:rPr>
        <w:t xml:space="preserve">Distributed Energy Resources (DER) </w:t>
      </w:r>
    </w:p>
    <w:p w:rsidR="00C67797" w:rsidRDefault="006C79BD" w:rsidP="007C1629">
      <w:pPr>
        <w:pStyle w:val="NormalWeb"/>
        <w:spacing w:after="240" w:line="288" w:lineRule="auto"/>
        <w:ind w:firstLine="720"/>
        <w:jc w:val="both"/>
        <w:rPr>
          <w:rFonts w:ascii="Arial Black" w:hAnsi="Arial Black" w:cs="Arial"/>
          <w:b/>
          <w:sz w:val="20"/>
          <w:szCs w:val="20"/>
        </w:rPr>
      </w:pPr>
      <w:r w:rsidRPr="00956DCD">
        <w:rPr>
          <w:rFonts w:ascii="Arial" w:hAnsi="Arial" w:cs="Arial"/>
          <w:sz w:val="20"/>
          <w:szCs w:val="20"/>
        </w:rPr>
        <w:t xml:space="preserve">Distributed Energy Resources (DER) are small-scale generation and customer load-modifying technologies, such as renewables, energy efficiency, energy storage, electric vehicles, and demand response. DER can be managed and integrated with conventional energy resources to achieve a reliable and resilient </w:t>
      </w:r>
      <w:r w:rsidR="005C1DE1">
        <w:rPr>
          <w:rFonts w:ascii="Arial" w:hAnsi="Arial" w:cs="Arial"/>
          <w:sz w:val="20"/>
          <w:szCs w:val="20"/>
        </w:rPr>
        <w:t xml:space="preserve">electric </w:t>
      </w:r>
      <w:r w:rsidRPr="00956DCD">
        <w:rPr>
          <w:rFonts w:ascii="Arial" w:hAnsi="Arial" w:cs="Arial"/>
          <w:sz w:val="20"/>
          <w:szCs w:val="20"/>
        </w:rPr>
        <w:t>grid. ORA supports the stat</w:t>
      </w:r>
      <w:r w:rsidR="00E353D2">
        <w:rPr>
          <w:rFonts w:ascii="Arial" w:hAnsi="Arial" w:cs="Arial"/>
          <w:sz w:val="20"/>
          <w:szCs w:val="20"/>
        </w:rPr>
        <w:t>e’s goal of integrating 12,000 m</w:t>
      </w:r>
      <w:r w:rsidRPr="00956DCD">
        <w:rPr>
          <w:rFonts w:ascii="Arial" w:hAnsi="Arial" w:cs="Arial"/>
          <w:sz w:val="20"/>
          <w:szCs w:val="20"/>
        </w:rPr>
        <w:t xml:space="preserve">egawatts (MW) of DER onto the distribution system to promote consumer choice, spur investment in distributed resources, and help meet the state’s ambitious climate goals. </w:t>
      </w:r>
    </w:p>
    <w:p w:rsidR="006C79BD" w:rsidRPr="00956DCD" w:rsidRDefault="006C79BD" w:rsidP="00325A6A">
      <w:pPr>
        <w:pStyle w:val="NormalWeb"/>
        <w:spacing w:after="120" w:line="288" w:lineRule="auto"/>
        <w:rPr>
          <w:rFonts w:ascii="Arial Black" w:hAnsi="Arial Black" w:cs="Arial"/>
          <w:b/>
          <w:sz w:val="20"/>
          <w:szCs w:val="20"/>
        </w:rPr>
      </w:pPr>
      <w:r w:rsidRPr="00956DCD">
        <w:rPr>
          <w:rFonts w:ascii="Arial Black" w:hAnsi="Arial Black" w:cs="Arial"/>
          <w:b/>
          <w:sz w:val="20"/>
          <w:szCs w:val="20"/>
        </w:rPr>
        <w:t xml:space="preserve">Distributed Resources Plan (DRP) </w:t>
      </w:r>
    </w:p>
    <w:p w:rsidR="00F01BA3" w:rsidRPr="002D6B09" w:rsidRDefault="006C79BD" w:rsidP="00BA2AB2">
      <w:pPr>
        <w:spacing w:after="120" w:line="288" w:lineRule="auto"/>
        <w:ind w:firstLine="720"/>
        <w:jc w:val="both"/>
        <w:rPr>
          <w:rFonts w:ascii="Arial" w:hAnsi="Arial" w:cs="Arial"/>
          <w:b/>
          <w:sz w:val="20"/>
          <w:szCs w:val="20"/>
        </w:rPr>
      </w:pPr>
      <w:r w:rsidRPr="00956DCD">
        <w:rPr>
          <w:rFonts w:ascii="Arial" w:hAnsi="Arial" w:cs="Arial"/>
          <w:sz w:val="20"/>
          <w:szCs w:val="20"/>
        </w:rPr>
        <w:t>The purpose of the Distributed Resources Plan (DRP) is to integrate Distributed Energy Resources (DER) into utility distribution system planning. In 2015, the CPUC adopted ORA’s recommendations to guide the utilities’ DRP plans, including requiring consistency across util</w:t>
      </w:r>
      <w:r w:rsidR="00FD2B2B">
        <w:rPr>
          <w:rFonts w:ascii="Arial" w:hAnsi="Arial" w:cs="Arial"/>
          <w:sz w:val="20"/>
          <w:szCs w:val="20"/>
        </w:rPr>
        <w:t xml:space="preserve">ity plans to promote uniform </w:t>
      </w:r>
      <w:r w:rsidR="00FD2B2B" w:rsidRPr="00956DCD">
        <w:rPr>
          <w:rFonts w:ascii="Arial" w:hAnsi="Arial" w:cs="Arial"/>
          <w:sz w:val="20"/>
          <w:szCs w:val="20"/>
        </w:rPr>
        <w:t>Distributed Energy Resources</w:t>
      </w:r>
      <w:r w:rsidRPr="00956DCD">
        <w:rPr>
          <w:rFonts w:ascii="Arial" w:hAnsi="Arial" w:cs="Arial"/>
          <w:sz w:val="20"/>
          <w:szCs w:val="20"/>
        </w:rPr>
        <w:t xml:space="preserve"> valuation. ORA advocated that the </w:t>
      </w:r>
      <w:r w:rsidR="009227F5">
        <w:rPr>
          <w:rFonts w:ascii="Arial" w:hAnsi="Arial" w:cs="Arial"/>
          <w:sz w:val="20"/>
          <w:szCs w:val="20"/>
        </w:rPr>
        <w:br/>
      </w:r>
      <w:r w:rsidR="009227F5">
        <w:rPr>
          <w:rFonts w:ascii="Arial" w:hAnsi="Arial" w:cs="Arial"/>
          <w:sz w:val="20"/>
          <w:szCs w:val="20"/>
        </w:rPr>
        <w:lastRenderedPageBreak/>
        <w:br/>
      </w:r>
      <w:r w:rsidRPr="00956DCD">
        <w:rPr>
          <w:rFonts w:ascii="Arial" w:hAnsi="Arial" w:cs="Arial"/>
          <w:sz w:val="20"/>
          <w:szCs w:val="20"/>
        </w:rPr>
        <w:t xml:space="preserve">utilities’ proposed Distributed Resources Plans should have a transparent interconnection process and utilize </w:t>
      </w:r>
      <w:r w:rsidR="00FD2B2B" w:rsidRPr="00956DCD">
        <w:rPr>
          <w:rFonts w:ascii="Arial" w:hAnsi="Arial" w:cs="Arial"/>
          <w:sz w:val="20"/>
          <w:szCs w:val="20"/>
        </w:rPr>
        <w:t>Distributed Energy Resources</w:t>
      </w:r>
      <w:r w:rsidRPr="00956DCD">
        <w:rPr>
          <w:rFonts w:ascii="Arial" w:hAnsi="Arial" w:cs="Arial"/>
          <w:sz w:val="20"/>
          <w:szCs w:val="20"/>
        </w:rPr>
        <w:t xml:space="preserve"> integration tools that will maximize the usefulness of grid modernization investments. These requirements are necessary to achieve significant ratepayer savings and attain SB 350’s greenhouse-gas reduction goals.</w:t>
      </w:r>
    </w:p>
    <w:p w:rsidR="006C79BD" w:rsidRPr="00956DCD" w:rsidRDefault="006C79BD" w:rsidP="009227F5">
      <w:pPr>
        <w:pStyle w:val="BodyTextNoIndent"/>
        <w:spacing w:after="60" w:line="288" w:lineRule="auto"/>
        <w:jc w:val="left"/>
        <w:rPr>
          <w:rFonts w:ascii="Arial Black" w:hAnsi="Arial Black"/>
          <w:b/>
        </w:rPr>
      </w:pPr>
      <w:r w:rsidRPr="00956DCD">
        <w:rPr>
          <w:rFonts w:ascii="Arial Black" w:hAnsi="Arial Black"/>
          <w:b/>
        </w:rPr>
        <w:t xml:space="preserve">Electric Vehicles </w:t>
      </w:r>
    </w:p>
    <w:p w:rsidR="006C79BD" w:rsidRPr="00956DCD" w:rsidRDefault="006C79BD" w:rsidP="00CF2365">
      <w:pPr>
        <w:pStyle w:val="BodyTextNoIndent"/>
        <w:spacing w:line="288" w:lineRule="auto"/>
        <w:ind w:firstLine="720"/>
        <w:rPr>
          <w:rFonts w:eastAsia="Times New Roman"/>
          <w:color w:val="auto"/>
        </w:rPr>
      </w:pPr>
      <w:r w:rsidRPr="00956DCD">
        <w:rPr>
          <w:rFonts w:eastAsia="Times New Roman"/>
          <w:color w:val="auto"/>
        </w:rPr>
        <w:t xml:space="preserve">ORA supports the deployment of </w:t>
      </w:r>
      <w:r w:rsidR="00BA2AB2">
        <w:rPr>
          <w:rFonts w:eastAsia="Times New Roman"/>
          <w:color w:val="auto"/>
        </w:rPr>
        <w:t xml:space="preserve">an </w:t>
      </w:r>
      <w:r w:rsidRPr="00956DCD">
        <w:rPr>
          <w:rFonts w:eastAsia="Times New Roman"/>
          <w:color w:val="auto"/>
        </w:rPr>
        <w:t xml:space="preserve">Electric Vehicle infrastructure as </w:t>
      </w:r>
      <w:r w:rsidR="002B34BB">
        <w:rPr>
          <w:rFonts w:eastAsia="Times New Roman"/>
          <w:color w:val="auto"/>
        </w:rPr>
        <w:t>foundational</w:t>
      </w:r>
      <w:r w:rsidRPr="00956DCD">
        <w:rPr>
          <w:rFonts w:eastAsia="Times New Roman"/>
          <w:color w:val="auto"/>
        </w:rPr>
        <w:t xml:space="preserve"> to achiev</w:t>
      </w:r>
      <w:r w:rsidR="002B34BB">
        <w:rPr>
          <w:rFonts w:eastAsia="Times New Roman"/>
          <w:color w:val="auto"/>
        </w:rPr>
        <w:t>ing</w:t>
      </w:r>
      <w:r w:rsidRPr="00956DCD">
        <w:rPr>
          <w:rFonts w:eastAsia="Times New Roman"/>
          <w:color w:val="auto"/>
        </w:rPr>
        <w:t xml:space="preserve"> </w:t>
      </w:r>
      <w:r w:rsidRPr="00956DCD">
        <w:t>the Governor</w:t>
      </w:r>
      <w:r w:rsidR="005F6808">
        <w:t>’s goal of placing 1.5 million E</w:t>
      </w:r>
      <w:r w:rsidRPr="00956DCD">
        <w:t xml:space="preserve">lectric </w:t>
      </w:r>
      <w:r w:rsidR="005F6808">
        <w:t>V</w:t>
      </w:r>
      <w:r w:rsidRPr="00956DCD">
        <w:t>ehicles on California roads by 2025</w:t>
      </w:r>
      <w:r w:rsidR="002B34BB">
        <w:t>, which is</w:t>
      </w:r>
      <w:r w:rsidRPr="00956DCD">
        <w:t xml:space="preserve"> an important strategy for </w:t>
      </w:r>
      <w:r w:rsidR="001214C3">
        <w:rPr>
          <w:rFonts w:eastAsia="Times New Roman"/>
          <w:color w:val="auto"/>
        </w:rPr>
        <w:t>reducing g</w:t>
      </w:r>
      <w:r w:rsidRPr="00956DCD">
        <w:rPr>
          <w:rFonts w:eastAsia="Times New Roman"/>
          <w:color w:val="auto"/>
        </w:rPr>
        <w:t xml:space="preserve">reenhouse </w:t>
      </w:r>
      <w:r w:rsidR="001214C3">
        <w:rPr>
          <w:rFonts w:eastAsia="Times New Roman"/>
          <w:color w:val="auto"/>
        </w:rPr>
        <w:t>g</w:t>
      </w:r>
      <w:r w:rsidRPr="00956DCD">
        <w:rPr>
          <w:rFonts w:eastAsia="Times New Roman"/>
          <w:color w:val="auto"/>
        </w:rPr>
        <w:t>as emissions. In 2015, ORA worked on developing polices and strategies to deploy the charging infrastructure needed to achieve this goal. ORA advocated for plans that would test assumptions regarding charging infrastructure deployment and utilization in the most effective and cost-efficient manner. Testing strategies prior to full infrastructure roll-out is the best way to maximize the potential to achieve the state’s goals and to minimize the risk of stranding ratepayer investments. </w:t>
      </w:r>
      <w:r w:rsidRPr="00956DCD">
        <w:rPr>
          <w:color w:val="auto"/>
        </w:rPr>
        <w:t>ORA developed a plan that would address these objectives</w:t>
      </w:r>
      <w:r w:rsidR="00C4052A">
        <w:rPr>
          <w:color w:val="auto"/>
        </w:rPr>
        <w:t>,</w:t>
      </w:r>
      <w:r w:rsidR="005F6808">
        <w:rPr>
          <w:color w:val="auto"/>
        </w:rPr>
        <w:t xml:space="preserve"> including</w:t>
      </w:r>
      <w:r w:rsidRPr="00956DCD">
        <w:rPr>
          <w:color w:val="auto"/>
        </w:rPr>
        <w:t xml:space="preserve"> </w:t>
      </w:r>
      <w:r w:rsidRPr="00956DCD">
        <w:rPr>
          <w:rFonts w:eastAsia="Times New Roman"/>
        </w:rPr>
        <w:t>a process to identify strategies for meeting charging station siting</w:t>
      </w:r>
      <w:r w:rsidR="005F6808">
        <w:rPr>
          <w:rFonts w:eastAsia="Times New Roman"/>
        </w:rPr>
        <w:t xml:space="preserve"> and</w:t>
      </w:r>
      <w:r w:rsidRPr="00956DCD">
        <w:rPr>
          <w:rFonts w:eastAsia="Times New Roman"/>
        </w:rPr>
        <w:t xml:space="preserve"> technology safety and reliability requirements</w:t>
      </w:r>
      <w:r w:rsidR="005F6808">
        <w:rPr>
          <w:rFonts w:eastAsia="Times New Roman"/>
        </w:rPr>
        <w:t>,</w:t>
      </w:r>
      <w:r w:rsidRPr="00956DCD">
        <w:rPr>
          <w:color w:val="auto"/>
        </w:rPr>
        <w:t xml:space="preserve"> while assuring robust market competition. </w:t>
      </w:r>
    </w:p>
    <w:p w:rsidR="009227F5" w:rsidRDefault="008235D6" w:rsidP="009227F5">
      <w:pPr>
        <w:pStyle w:val="BodyTextwithIndent"/>
        <w:spacing w:after="60" w:line="288" w:lineRule="auto"/>
        <w:ind w:firstLine="720"/>
        <w:rPr>
          <w:color w:val="auto"/>
        </w:rPr>
      </w:pPr>
      <w:r w:rsidRPr="00956DCD">
        <w:rPr>
          <w:color w:val="auto"/>
        </w:rPr>
        <w:t xml:space="preserve">ORA collaborated with Edison and other consumer, </w:t>
      </w:r>
      <w:r w:rsidRPr="00956DCD">
        <w:rPr>
          <w:rFonts w:eastAsia="Times New Roman"/>
        </w:rPr>
        <w:t>low-income, environmental, and industry representatives</w:t>
      </w:r>
      <w:r w:rsidRPr="00956DCD">
        <w:rPr>
          <w:color w:val="auto"/>
        </w:rPr>
        <w:t xml:space="preserve"> to develop </w:t>
      </w:r>
      <w:r>
        <w:rPr>
          <w:color w:val="auto"/>
        </w:rPr>
        <w:t xml:space="preserve">a </w:t>
      </w:r>
      <w:r w:rsidRPr="00956DCD">
        <w:rPr>
          <w:color w:val="auto"/>
        </w:rPr>
        <w:t>charging infrastructure pilot framework.</w:t>
      </w:r>
      <w:r w:rsidRPr="00956DCD">
        <w:rPr>
          <w:rFonts w:eastAsia="Times New Roman"/>
        </w:rPr>
        <w:t xml:space="preserve"> </w:t>
      </w:r>
      <w:r w:rsidR="006C79BD" w:rsidRPr="00956DCD">
        <w:rPr>
          <w:rFonts w:eastAsia="Times New Roman"/>
        </w:rPr>
        <w:t>Key provisions of this pilot include third-party private ownership of charging stations and a regulatory process to transition from pilot to full-scale roll-out.</w:t>
      </w:r>
      <w:r w:rsidR="006C79BD" w:rsidRPr="00956DCD">
        <w:rPr>
          <w:color w:val="auto"/>
        </w:rPr>
        <w:t xml:space="preserve"> The pilot would also require</w:t>
      </w:r>
      <w:r w:rsidR="006C79BD" w:rsidRPr="00956DCD">
        <w:rPr>
          <w:rFonts w:eastAsia="Times New Roman"/>
          <w:color w:val="auto"/>
        </w:rPr>
        <w:t xml:space="preserve"> regular reporting to identify lessons-learned prior to full deployment, protect ratepayers by capping the initial budget at $22 million, utilize an advisory board to provide guidance on program design and implementation, and clearly define Edison’s and Electric Vehicle service providers’ respective roles in outreach and education efforts. </w:t>
      </w:r>
      <w:r w:rsidR="00FF2DD7" w:rsidRPr="00A153A5">
        <w:rPr>
          <w:color w:val="auto"/>
        </w:rPr>
        <w:t xml:space="preserve">On December 15, 2015, the CPUC issued a </w:t>
      </w:r>
      <w:r w:rsidR="006C79BD" w:rsidRPr="00A153A5">
        <w:rPr>
          <w:color w:val="auto"/>
        </w:rPr>
        <w:t xml:space="preserve">proposed </w:t>
      </w:r>
      <w:r w:rsidR="00FF2DD7" w:rsidRPr="00A153A5">
        <w:rPr>
          <w:color w:val="auto"/>
        </w:rPr>
        <w:t xml:space="preserve">and an alternate proposed </w:t>
      </w:r>
      <w:r w:rsidR="006C79BD" w:rsidRPr="00A153A5">
        <w:rPr>
          <w:color w:val="auto"/>
        </w:rPr>
        <w:t>decision</w:t>
      </w:r>
      <w:r w:rsidR="00FF2DD7" w:rsidRPr="00A153A5">
        <w:rPr>
          <w:color w:val="auto"/>
        </w:rPr>
        <w:t xml:space="preserve">, both which essentially approve </w:t>
      </w:r>
      <w:r w:rsidR="005F6808">
        <w:rPr>
          <w:color w:val="auto"/>
        </w:rPr>
        <w:t xml:space="preserve">the </w:t>
      </w:r>
      <w:r w:rsidR="00A153A5" w:rsidRPr="00A153A5">
        <w:rPr>
          <w:color w:val="auto"/>
        </w:rPr>
        <w:t xml:space="preserve">settlement agreement for </w:t>
      </w:r>
      <w:r w:rsidR="00FF2DD7" w:rsidRPr="00A153A5">
        <w:rPr>
          <w:color w:val="auto"/>
        </w:rPr>
        <w:t>Edison</w:t>
      </w:r>
      <w:r w:rsidR="00A153A5" w:rsidRPr="00A153A5">
        <w:rPr>
          <w:color w:val="auto"/>
        </w:rPr>
        <w:t>’s E</w:t>
      </w:r>
      <w:r w:rsidR="00BA2AB2">
        <w:rPr>
          <w:color w:val="auto"/>
        </w:rPr>
        <w:t xml:space="preserve">lectric </w:t>
      </w:r>
      <w:r w:rsidR="00A153A5" w:rsidRPr="00A153A5">
        <w:rPr>
          <w:color w:val="auto"/>
        </w:rPr>
        <w:t>V</w:t>
      </w:r>
      <w:r w:rsidR="00BA2AB2">
        <w:rPr>
          <w:color w:val="auto"/>
        </w:rPr>
        <w:t>ehicle</w:t>
      </w:r>
      <w:r w:rsidR="00A153A5" w:rsidRPr="00A153A5">
        <w:rPr>
          <w:color w:val="auto"/>
        </w:rPr>
        <w:t xml:space="preserve"> charging infrastructure pilot. However,</w:t>
      </w:r>
      <w:r w:rsidR="00FF2DD7" w:rsidRPr="00A153A5">
        <w:rPr>
          <w:color w:val="auto"/>
        </w:rPr>
        <w:t xml:space="preserve"> each </w:t>
      </w:r>
      <w:r w:rsidR="00A153A5" w:rsidRPr="00A153A5">
        <w:rPr>
          <w:color w:val="auto"/>
        </w:rPr>
        <w:t xml:space="preserve">proposed decision </w:t>
      </w:r>
      <w:r w:rsidR="00FF2DD7" w:rsidRPr="00A153A5">
        <w:rPr>
          <w:color w:val="auto"/>
        </w:rPr>
        <w:t>make</w:t>
      </w:r>
      <w:r w:rsidR="00A153A5" w:rsidRPr="00A153A5">
        <w:rPr>
          <w:color w:val="auto"/>
        </w:rPr>
        <w:t>s</w:t>
      </w:r>
      <w:r w:rsidR="00FF2DD7" w:rsidRPr="00A153A5">
        <w:rPr>
          <w:color w:val="auto"/>
        </w:rPr>
        <w:t xml:space="preserve"> minor modifications to the rebate levels</w:t>
      </w:r>
      <w:r w:rsidR="00A153A5" w:rsidRPr="00A153A5">
        <w:rPr>
          <w:color w:val="auto"/>
        </w:rPr>
        <w:t xml:space="preserve"> for the base cost of charging stations</w:t>
      </w:r>
      <w:r w:rsidR="006C79BD" w:rsidRPr="00A153A5">
        <w:rPr>
          <w:color w:val="auto"/>
        </w:rPr>
        <w:t>.</w:t>
      </w:r>
      <w:r w:rsidR="006C79BD" w:rsidRPr="00956DCD">
        <w:rPr>
          <w:color w:val="auto"/>
        </w:rPr>
        <w:t xml:space="preserve"> </w:t>
      </w:r>
    </w:p>
    <w:p w:rsidR="005F6808" w:rsidRDefault="006C79BD" w:rsidP="00BA2AB2">
      <w:pPr>
        <w:pStyle w:val="BodyTextwithIndent"/>
        <w:spacing w:line="288" w:lineRule="auto"/>
        <w:ind w:firstLine="720"/>
      </w:pPr>
      <w:r w:rsidRPr="00956DCD">
        <w:t xml:space="preserve">ORA asserts that all of the state’s investor owned utilities should implement a similar pilot roll-out </w:t>
      </w:r>
      <w:r w:rsidR="00351C18">
        <w:br/>
      </w:r>
      <w:r w:rsidR="00351C18">
        <w:lastRenderedPageBreak/>
        <w:br/>
      </w:r>
      <w:r w:rsidRPr="00956DCD">
        <w:t>in order to first test strategies, promote robust market competition, and keep costs low. ORA does not support PG&amp;E’s and SDG&amp;E’s proposals which are more costly than Edison’s (PG&amp;E requests $604 million and SDG&amp;E requests $103 million) and would allow the utilities to own both the electric distribution infrastructure and the charging stations, which would stifle competition at ratepayers’ expense, and could impede meeting the Governor's goal of increasing E</w:t>
      </w:r>
      <w:r w:rsidR="005F6808">
        <w:t xml:space="preserve">lectric Vehicles in California. </w:t>
      </w:r>
    </w:p>
    <w:p w:rsidR="00AD57A0" w:rsidRPr="00956DCD" w:rsidRDefault="006C79BD" w:rsidP="00776D65">
      <w:pPr>
        <w:pStyle w:val="BodyTextwithIndent"/>
        <w:spacing w:after="240" w:line="288" w:lineRule="auto"/>
        <w:ind w:firstLine="720"/>
      </w:pPr>
      <w:r w:rsidRPr="00956DCD">
        <w:t xml:space="preserve">ORA’s advocacy in 2015 was successful in achieving a CPUC ruling that requires PG&amp;E to deploy its program in phases in order to provide lessons-learned prior to full deployment. These modifications ensure that PG&amp;E tests the efficacy of its program before investing an additional $570 million in ratepayer funds into a full program. This pilot phase will still allow PG&amp;E to essentially double the number of available charging stations in its service territory. </w:t>
      </w:r>
    </w:p>
    <w:p w:rsidR="006C79BD" w:rsidRPr="00956DCD" w:rsidRDefault="006C79BD" w:rsidP="00325A6A">
      <w:pPr>
        <w:pStyle w:val="BodyTextwithIndent"/>
        <w:spacing w:line="288" w:lineRule="auto"/>
        <w:ind w:firstLine="0"/>
        <w:jc w:val="left"/>
        <w:rPr>
          <w:rFonts w:ascii="Arial Black" w:hAnsi="Arial Black"/>
          <w:b/>
        </w:rPr>
      </w:pPr>
      <w:r w:rsidRPr="00956DCD">
        <w:rPr>
          <w:rFonts w:ascii="Arial Black" w:hAnsi="Arial Black"/>
          <w:b/>
        </w:rPr>
        <w:t xml:space="preserve">Energy Storage </w:t>
      </w:r>
    </w:p>
    <w:p w:rsidR="006C79BD" w:rsidRPr="00956DCD" w:rsidRDefault="006C79BD" w:rsidP="00776D65">
      <w:pPr>
        <w:spacing w:after="240" w:line="288" w:lineRule="auto"/>
        <w:ind w:firstLine="720"/>
        <w:jc w:val="both"/>
        <w:rPr>
          <w:rFonts w:ascii="Arial" w:hAnsi="Arial" w:cs="Arial"/>
          <w:sz w:val="20"/>
          <w:szCs w:val="20"/>
        </w:rPr>
      </w:pPr>
      <w:r w:rsidRPr="00956DCD">
        <w:rPr>
          <w:rFonts w:ascii="Arial" w:hAnsi="Arial" w:cs="Arial"/>
          <w:sz w:val="20"/>
          <w:szCs w:val="20"/>
        </w:rPr>
        <w:t>ORA supports the CPUC’s efforts to improve the efficiency of the Energy Storage solicitation process</w:t>
      </w:r>
      <w:r w:rsidR="005F6808">
        <w:rPr>
          <w:rFonts w:ascii="Arial" w:hAnsi="Arial" w:cs="Arial"/>
          <w:sz w:val="20"/>
          <w:szCs w:val="20"/>
        </w:rPr>
        <w:t>,</w:t>
      </w:r>
      <w:r w:rsidRPr="00956DCD">
        <w:rPr>
          <w:rFonts w:ascii="Arial" w:hAnsi="Arial" w:cs="Arial"/>
          <w:sz w:val="20"/>
          <w:szCs w:val="20"/>
        </w:rPr>
        <w:t xml:space="preserve"> using clear guiding principles. In 2015, ORA advocated for objectives to reevaluate the Energy Storage framework based on lessons-learned that will promote cost-effective Energy Storage procurement by allowing the utilities to shift up to 80% of their storage targets between transmission, distribution, and customer-sited storage requirements. ORA advocated for an Energy Storage strategy and evaluation plan that will account for greenhouse gas emission reductions met by Energy Storage, and which demonstrates accurate costs and benefits to ratepayers.</w:t>
      </w:r>
      <w:r w:rsidR="00E15DF0">
        <w:rPr>
          <w:rFonts w:ascii="Arial" w:hAnsi="Arial" w:cs="Arial"/>
          <w:sz w:val="20"/>
          <w:szCs w:val="20"/>
        </w:rPr>
        <w:t xml:space="preserve"> </w:t>
      </w:r>
      <w:r w:rsidRPr="00956DCD">
        <w:rPr>
          <w:rFonts w:ascii="Arial" w:hAnsi="Arial" w:cs="Arial"/>
          <w:sz w:val="20"/>
          <w:szCs w:val="20"/>
        </w:rPr>
        <w:t>Additionally, the CPUC should approve Energy Storage plans that identify need and deploy projects based on locational system needs in order to promote cost-effectiveness.</w:t>
      </w:r>
    </w:p>
    <w:p w:rsidR="006C79BD" w:rsidRPr="00956DCD" w:rsidRDefault="006C79BD" w:rsidP="00325A6A">
      <w:pPr>
        <w:pStyle w:val="BodyTextwithIndent"/>
        <w:spacing w:line="288" w:lineRule="auto"/>
        <w:ind w:firstLine="0"/>
        <w:jc w:val="left"/>
        <w:rPr>
          <w:rFonts w:ascii="Arial Black" w:hAnsi="Arial Black"/>
          <w:b/>
        </w:rPr>
      </w:pPr>
      <w:r w:rsidRPr="00956DCD">
        <w:rPr>
          <w:rFonts w:ascii="Arial Black" w:hAnsi="Arial Black"/>
          <w:b/>
        </w:rPr>
        <w:t>Net Energy Metering (NEM)</w:t>
      </w:r>
    </w:p>
    <w:p w:rsidR="00D03ACC" w:rsidRDefault="006C79BD" w:rsidP="00776D65">
      <w:pPr>
        <w:spacing w:after="120" w:line="288" w:lineRule="auto"/>
        <w:ind w:firstLine="720"/>
        <w:jc w:val="both"/>
        <w:rPr>
          <w:rFonts w:ascii="Arial" w:hAnsi="Arial" w:cs="Arial"/>
          <w:sz w:val="20"/>
          <w:szCs w:val="20"/>
        </w:rPr>
      </w:pPr>
      <w:r w:rsidRPr="00956DCD">
        <w:rPr>
          <w:rFonts w:ascii="Arial" w:hAnsi="Arial" w:cs="Arial"/>
          <w:sz w:val="20"/>
          <w:szCs w:val="20"/>
        </w:rPr>
        <w:t xml:space="preserve">ORA strongly supports the growth of roof-top solar as a means of achieving the state’s clean energy goals by reducing greenhouse gas emissions. In order to achieve this goal, it is important that all customers not only pay their fair share of the grid that they utilize, but that the framework creates a financial structure that is sustainable for both solar and non-solar customers over the long-term. </w:t>
      </w:r>
    </w:p>
    <w:p w:rsidR="00776D65" w:rsidRDefault="00776D65" w:rsidP="005F6808">
      <w:pPr>
        <w:spacing w:line="288" w:lineRule="auto"/>
        <w:ind w:firstLine="720"/>
        <w:jc w:val="both"/>
        <w:rPr>
          <w:rFonts w:ascii="Arial" w:hAnsi="Arial" w:cs="Arial"/>
          <w:sz w:val="20"/>
          <w:szCs w:val="20"/>
        </w:rPr>
      </w:pPr>
    </w:p>
    <w:p w:rsidR="00650C6F" w:rsidRDefault="002B34BB" w:rsidP="00776D65">
      <w:pPr>
        <w:spacing w:after="120" w:line="288" w:lineRule="auto"/>
        <w:ind w:firstLine="720"/>
        <w:jc w:val="both"/>
        <w:rPr>
          <w:rFonts w:ascii="Arial" w:hAnsi="Arial" w:cs="Arial"/>
          <w:sz w:val="20"/>
          <w:szCs w:val="20"/>
        </w:rPr>
      </w:pPr>
      <w:r>
        <w:rPr>
          <w:rFonts w:ascii="Arial" w:hAnsi="Arial" w:cs="Arial"/>
          <w:sz w:val="20"/>
          <w:szCs w:val="20"/>
        </w:rPr>
        <w:t>To balance these objectives</w:t>
      </w:r>
      <w:r w:rsidR="006C79BD" w:rsidRPr="00956DCD">
        <w:rPr>
          <w:rFonts w:ascii="Arial" w:hAnsi="Arial" w:cs="Arial"/>
          <w:sz w:val="20"/>
          <w:szCs w:val="20"/>
        </w:rPr>
        <w:t xml:space="preserve">, ORA proposed a successor </w:t>
      </w:r>
      <w:r w:rsidR="00974C1B">
        <w:rPr>
          <w:rFonts w:ascii="Arial" w:hAnsi="Arial" w:cs="Arial"/>
          <w:sz w:val="20"/>
          <w:szCs w:val="20"/>
        </w:rPr>
        <w:t>N</w:t>
      </w:r>
      <w:r w:rsidR="00974C1B" w:rsidRPr="00956DCD">
        <w:rPr>
          <w:rFonts w:ascii="Arial" w:hAnsi="Arial" w:cs="Arial"/>
          <w:sz w:val="20"/>
          <w:szCs w:val="20"/>
        </w:rPr>
        <w:t xml:space="preserve">et </w:t>
      </w:r>
      <w:r w:rsidR="00974C1B">
        <w:rPr>
          <w:rFonts w:ascii="Arial" w:hAnsi="Arial" w:cs="Arial"/>
          <w:sz w:val="20"/>
          <w:szCs w:val="20"/>
        </w:rPr>
        <w:t>E</w:t>
      </w:r>
      <w:r w:rsidR="00974C1B" w:rsidRPr="00956DCD">
        <w:rPr>
          <w:rFonts w:ascii="Arial" w:hAnsi="Arial" w:cs="Arial"/>
          <w:sz w:val="20"/>
          <w:szCs w:val="20"/>
        </w:rPr>
        <w:t xml:space="preserve">nergy </w:t>
      </w:r>
      <w:r w:rsidR="00974C1B">
        <w:rPr>
          <w:rFonts w:ascii="Arial" w:hAnsi="Arial" w:cs="Arial"/>
          <w:sz w:val="20"/>
          <w:szCs w:val="20"/>
        </w:rPr>
        <w:t>M</w:t>
      </w:r>
      <w:r w:rsidR="00974C1B" w:rsidRPr="00956DCD">
        <w:rPr>
          <w:rFonts w:ascii="Arial" w:hAnsi="Arial" w:cs="Arial"/>
          <w:sz w:val="20"/>
          <w:szCs w:val="20"/>
        </w:rPr>
        <w:t>etering</w:t>
      </w:r>
      <w:r w:rsidR="00974C1B">
        <w:rPr>
          <w:rFonts w:ascii="Arial" w:hAnsi="Arial" w:cs="Arial"/>
          <w:sz w:val="20"/>
          <w:szCs w:val="20"/>
        </w:rPr>
        <w:t xml:space="preserve"> (</w:t>
      </w:r>
      <w:r w:rsidR="006C79BD" w:rsidRPr="00956DCD">
        <w:rPr>
          <w:rFonts w:ascii="Arial" w:hAnsi="Arial" w:cs="Arial"/>
          <w:sz w:val="20"/>
          <w:szCs w:val="20"/>
        </w:rPr>
        <w:t>NEM</w:t>
      </w:r>
      <w:r w:rsidR="00974C1B">
        <w:rPr>
          <w:rFonts w:ascii="Arial" w:hAnsi="Arial" w:cs="Arial"/>
          <w:sz w:val="20"/>
          <w:szCs w:val="20"/>
        </w:rPr>
        <w:t>)</w:t>
      </w:r>
      <w:r w:rsidR="006C79BD" w:rsidRPr="00956DCD">
        <w:rPr>
          <w:rFonts w:ascii="Arial" w:hAnsi="Arial" w:cs="Arial"/>
          <w:sz w:val="20"/>
          <w:szCs w:val="20"/>
        </w:rPr>
        <w:t xml:space="preserve"> </w:t>
      </w:r>
      <w:r w:rsidR="006C79BD" w:rsidRPr="00956DCD">
        <w:rPr>
          <w:rFonts w:ascii="Arial" w:hAnsi="Arial" w:cs="Arial"/>
          <w:bCs/>
          <w:sz w:val="20"/>
          <w:szCs w:val="20"/>
        </w:rPr>
        <w:t>Proposal</w:t>
      </w:r>
      <w:r w:rsidR="006C79BD" w:rsidRPr="00956DCD">
        <w:rPr>
          <w:rFonts w:ascii="Arial" w:hAnsi="Arial" w:cs="Arial"/>
          <w:sz w:val="20"/>
          <w:szCs w:val="20"/>
        </w:rPr>
        <w:t xml:space="preserve"> that would continue the</w:t>
      </w:r>
      <w:r w:rsidR="00974C1B">
        <w:rPr>
          <w:rFonts w:ascii="Arial" w:hAnsi="Arial" w:cs="Arial"/>
          <w:sz w:val="20"/>
          <w:szCs w:val="20"/>
        </w:rPr>
        <w:t xml:space="preserve"> </w:t>
      </w:r>
      <w:r w:rsidR="005F6808">
        <w:rPr>
          <w:rFonts w:ascii="Arial" w:hAnsi="Arial" w:cs="Arial"/>
          <w:sz w:val="20"/>
          <w:szCs w:val="20"/>
        </w:rPr>
        <w:t xml:space="preserve">existing </w:t>
      </w:r>
      <w:r w:rsidR="00974C1B">
        <w:rPr>
          <w:rFonts w:ascii="Arial" w:hAnsi="Arial" w:cs="Arial"/>
          <w:sz w:val="20"/>
          <w:szCs w:val="20"/>
        </w:rPr>
        <w:t xml:space="preserve">NEM </w:t>
      </w:r>
      <w:r w:rsidR="006C79BD" w:rsidRPr="00956DCD">
        <w:rPr>
          <w:rFonts w:ascii="Arial" w:hAnsi="Arial" w:cs="Arial"/>
          <w:sz w:val="20"/>
          <w:szCs w:val="20"/>
        </w:rPr>
        <w:t xml:space="preserve">program at the full retail rate and introduce a small monthly fee (based on the installed capacity of the generator), which would gradually increase as solar adoption grows. The low fee would start at $2 per installed kilowatt, or approximately $10 per month for a typical rooftop solar system, which would be grandfathered at that rate for ten years. </w:t>
      </w:r>
      <w:r w:rsidR="006C79BD" w:rsidRPr="004E5EBF">
        <w:rPr>
          <w:rFonts w:ascii="Arial" w:hAnsi="Arial" w:cs="Arial"/>
          <w:sz w:val="20"/>
          <w:szCs w:val="20"/>
        </w:rPr>
        <w:t xml:space="preserve">The fee would increase as the amount </w:t>
      </w:r>
      <w:r w:rsidR="002D5509" w:rsidRPr="004E5EBF">
        <w:rPr>
          <w:rFonts w:ascii="Arial" w:hAnsi="Arial" w:cs="Arial"/>
          <w:sz w:val="20"/>
          <w:szCs w:val="20"/>
        </w:rPr>
        <w:t xml:space="preserve">of solar penetration increases. </w:t>
      </w:r>
      <w:r w:rsidR="002D5509" w:rsidRPr="006C0754">
        <w:rPr>
          <w:rFonts w:ascii="Arial" w:hAnsi="Arial" w:cs="Arial"/>
          <w:sz w:val="20"/>
          <w:szCs w:val="20"/>
        </w:rPr>
        <w:t>Existing customers who invested in rooftop solar prior to an updated CPUC decision, will be grandfathered for 20 years.</w:t>
      </w:r>
    </w:p>
    <w:p w:rsidR="003270DD" w:rsidRDefault="006C79BD" w:rsidP="00AD57A0">
      <w:pPr>
        <w:spacing w:after="120" w:line="288" w:lineRule="auto"/>
        <w:ind w:firstLine="720"/>
        <w:jc w:val="both"/>
        <w:rPr>
          <w:rFonts w:ascii="Arial" w:hAnsi="Arial" w:cs="Arial"/>
          <w:sz w:val="20"/>
          <w:szCs w:val="20"/>
        </w:rPr>
      </w:pPr>
      <w:r w:rsidRPr="00956DCD">
        <w:rPr>
          <w:rFonts w:ascii="Arial" w:hAnsi="Arial" w:cs="Arial"/>
          <w:sz w:val="20"/>
          <w:szCs w:val="20"/>
        </w:rPr>
        <w:t>This plan would continue to provide a cost-effective means for utility customers to generate their own electricity, yet limit subsidies to only what is necessary to preserve a value proposition for customers who generate their own electricity with a renewable generator. ORA’s proposal would also continue consumer protections from the California Solar Initiative Program, as well as potentially expand the existing Single-Family Affordable Solar Homes th</w:t>
      </w:r>
      <w:r w:rsidR="00974C1B">
        <w:rPr>
          <w:rFonts w:ascii="Arial" w:hAnsi="Arial" w:cs="Arial"/>
          <w:sz w:val="20"/>
          <w:szCs w:val="20"/>
        </w:rPr>
        <w:t>ird party financing program to disadvantaged c</w:t>
      </w:r>
      <w:r w:rsidRPr="00956DCD">
        <w:rPr>
          <w:rFonts w:ascii="Arial" w:hAnsi="Arial" w:cs="Arial"/>
          <w:sz w:val="20"/>
          <w:szCs w:val="20"/>
        </w:rPr>
        <w:t>ommunities.   </w:t>
      </w:r>
    </w:p>
    <w:p w:rsidR="00650C6F" w:rsidRDefault="00650C6F" w:rsidP="00776D65">
      <w:pPr>
        <w:spacing w:after="240" w:line="288" w:lineRule="auto"/>
        <w:ind w:firstLine="720"/>
        <w:jc w:val="both"/>
      </w:pPr>
      <w:r>
        <w:rPr>
          <w:rFonts w:ascii="Arial" w:hAnsi="Arial" w:cs="Arial"/>
          <w:sz w:val="20"/>
          <w:szCs w:val="20"/>
        </w:rPr>
        <w:t>On December 15, 2015, the CPUC issued a NEM proposed decision, which takes a</w:t>
      </w:r>
      <w:r w:rsidR="0052523D">
        <w:rPr>
          <w:rFonts w:ascii="Arial" w:hAnsi="Arial" w:cs="Arial"/>
          <w:sz w:val="20"/>
          <w:szCs w:val="20"/>
        </w:rPr>
        <w:t>n incremental</w:t>
      </w:r>
      <w:r>
        <w:rPr>
          <w:rFonts w:ascii="Arial" w:hAnsi="Arial" w:cs="Arial"/>
          <w:sz w:val="20"/>
          <w:szCs w:val="20"/>
        </w:rPr>
        <w:t xml:space="preserve"> step towards reducing program subsidies by increasing the one-time interconnection fee for new installations. The CPUC proposal would also require NEM customers to pay non-bypassable charges related to public benefit activities. Additionally the proposed decision would require systems installed after January 1, 2018 to be on a default Time-of-Use rate schedule, and </w:t>
      </w:r>
      <w:r w:rsidR="005F6808">
        <w:rPr>
          <w:rFonts w:ascii="Arial" w:hAnsi="Arial" w:cs="Arial"/>
          <w:sz w:val="20"/>
          <w:szCs w:val="20"/>
        </w:rPr>
        <w:t>would</w:t>
      </w:r>
      <w:r>
        <w:rPr>
          <w:rFonts w:ascii="Arial" w:hAnsi="Arial" w:cs="Arial"/>
          <w:sz w:val="20"/>
          <w:szCs w:val="20"/>
        </w:rPr>
        <w:t xml:space="preserve"> re-examine the NEM issue in 2019. Although the proposed decision makes incremental progress, ORA remains concerned that the subsidy will continue to significantly grow, resulting in increased rates for customers.</w:t>
      </w:r>
    </w:p>
    <w:p w:rsidR="006C79BD" w:rsidRPr="00956DCD" w:rsidRDefault="006C79BD" w:rsidP="00E40312">
      <w:pPr>
        <w:pStyle w:val="BodyTextwithIndent"/>
        <w:spacing w:line="240" w:lineRule="auto"/>
        <w:ind w:firstLine="0"/>
        <w:jc w:val="left"/>
        <w:rPr>
          <w:rFonts w:ascii="Arial Black" w:hAnsi="Arial Black"/>
          <w:b/>
        </w:rPr>
      </w:pPr>
      <w:r w:rsidRPr="00956DCD">
        <w:rPr>
          <w:rFonts w:ascii="Arial Black" w:hAnsi="Arial Black"/>
          <w:b/>
        </w:rPr>
        <w:t xml:space="preserve">Energy Generation Interconnection Rules (Rule 21) </w:t>
      </w:r>
    </w:p>
    <w:p w:rsidR="004144CE" w:rsidRDefault="006C79BD" w:rsidP="00776D65">
      <w:pPr>
        <w:spacing w:after="120" w:line="288" w:lineRule="auto"/>
        <w:ind w:firstLine="720"/>
        <w:jc w:val="both"/>
        <w:rPr>
          <w:rFonts w:ascii="Arial" w:hAnsi="Arial" w:cs="Arial"/>
          <w:sz w:val="20"/>
          <w:szCs w:val="20"/>
        </w:rPr>
      </w:pPr>
      <w:r w:rsidRPr="00956DCD">
        <w:rPr>
          <w:rFonts w:ascii="Arial" w:hAnsi="Arial" w:cs="Arial"/>
          <w:sz w:val="20"/>
          <w:szCs w:val="20"/>
        </w:rPr>
        <w:t xml:space="preserve">ORA supports the adoption of the CPUC’s Rule 21 reforms for interconnection of distributed energy resources to the utilities’ distribution systems. Specifically, </w:t>
      </w:r>
      <w:r w:rsidRPr="00956DCD">
        <w:rPr>
          <w:rFonts w:ascii="Arial" w:hAnsi="Arial" w:cs="Arial"/>
          <w:color w:val="000000"/>
          <w:sz w:val="20"/>
          <w:szCs w:val="20"/>
        </w:rPr>
        <w:t>ORA supports the CPUC’s guidelines and</w:t>
      </w:r>
      <w:r w:rsidR="005F6808">
        <w:rPr>
          <w:rFonts w:ascii="Arial" w:hAnsi="Arial" w:cs="Arial"/>
          <w:color w:val="000000"/>
          <w:sz w:val="20"/>
          <w:szCs w:val="20"/>
        </w:rPr>
        <w:t xml:space="preserve"> </w:t>
      </w:r>
      <w:r w:rsidRPr="00956DCD">
        <w:rPr>
          <w:rFonts w:ascii="Arial" w:hAnsi="Arial" w:cs="Arial"/>
          <w:color w:val="000000"/>
          <w:sz w:val="20"/>
          <w:szCs w:val="20"/>
        </w:rPr>
        <w:t xml:space="preserve">reporting processes that serve to provide greater cost transparency for interconnecting energy resources to the utilities’ distribution system. </w:t>
      </w:r>
      <w:r w:rsidRPr="00956DCD">
        <w:rPr>
          <w:rFonts w:ascii="Arial" w:hAnsi="Arial" w:cs="Arial"/>
          <w:sz w:val="20"/>
          <w:szCs w:val="20"/>
        </w:rPr>
        <w:t xml:space="preserve">ORA opposes requiring </w:t>
      </w:r>
      <w:r w:rsidR="00776D65">
        <w:rPr>
          <w:rFonts w:ascii="Arial" w:hAnsi="Arial" w:cs="Arial"/>
          <w:sz w:val="20"/>
          <w:szCs w:val="20"/>
        </w:rPr>
        <w:br/>
      </w:r>
      <w:r w:rsidR="00776D65">
        <w:rPr>
          <w:rFonts w:ascii="Arial" w:hAnsi="Arial" w:cs="Arial"/>
          <w:sz w:val="20"/>
          <w:szCs w:val="20"/>
        </w:rPr>
        <w:lastRenderedPageBreak/>
        <w:br/>
      </w:r>
      <w:r w:rsidRPr="00956DCD">
        <w:rPr>
          <w:rFonts w:ascii="Arial" w:hAnsi="Arial" w:cs="Arial"/>
          <w:sz w:val="20"/>
          <w:szCs w:val="20"/>
        </w:rPr>
        <w:t>ratepayers to pay for distribution system infrastructure upgrades. Those costs should be borne by the generators who trigger the upgrades, given</w:t>
      </w:r>
      <w:r w:rsidRPr="00956DCD">
        <w:rPr>
          <w:rFonts w:ascii="Arial" w:hAnsi="Arial" w:cs="Arial"/>
          <w:color w:val="000000"/>
          <w:sz w:val="20"/>
          <w:szCs w:val="20"/>
        </w:rPr>
        <w:t xml:space="preserve"> that they make a profit from these transactions.</w:t>
      </w:r>
      <w:r w:rsidRPr="00956DCD">
        <w:rPr>
          <w:rFonts w:ascii="Arial" w:hAnsi="Arial" w:cs="Arial"/>
          <w:sz w:val="20"/>
          <w:szCs w:val="20"/>
        </w:rPr>
        <w:t xml:space="preserve"> ORA advocates for the Massachusetts-style model, which provides interconnection c</w:t>
      </w:r>
      <w:r w:rsidR="006C7B04">
        <w:rPr>
          <w:rFonts w:ascii="Arial" w:hAnsi="Arial" w:cs="Arial"/>
          <w:sz w:val="20"/>
          <w:szCs w:val="20"/>
        </w:rPr>
        <w:t xml:space="preserve">ost certainty by requiring </w:t>
      </w:r>
      <w:r w:rsidRPr="00956DCD">
        <w:rPr>
          <w:rFonts w:ascii="Arial" w:hAnsi="Arial" w:cs="Arial"/>
          <w:sz w:val="20"/>
          <w:szCs w:val="20"/>
        </w:rPr>
        <w:t xml:space="preserve">cost increases of up to 10% of the utility’s estimated costs be paid by the interconnecting applicants. Any cost increases in excess of the 10% cap </w:t>
      </w:r>
      <w:r w:rsidR="00126490">
        <w:rPr>
          <w:rFonts w:ascii="Arial" w:hAnsi="Arial" w:cs="Arial"/>
          <w:sz w:val="20"/>
          <w:szCs w:val="20"/>
        </w:rPr>
        <w:t>should be</w:t>
      </w:r>
      <w:r w:rsidRPr="00956DCD">
        <w:rPr>
          <w:rFonts w:ascii="Arial" w:hAnsi="Arial" w:cs="Arial"/>
          <w:sz w:val="20"/>
          <w:szCs w:val="20"/>
        </w:rPr>
        <w:t xml:space="preserve"> paid by utility shareholders</w:t>
      </w:r>
      <w:r w:rsidR="00FD56E1">
        <w:rPr>
          <w:rFonts w:ascii="Arial" w:hAnsi="Arial" w:cs="Arial"/>
          <w:sz w:val="20"/>
          <w:szCs w:val="20"/>
        </w:rPr>
        <w:t>. This approach</w:t>
      </w:r>
      <w:r w:rsidRPr="00956DCD">
        <w:rPr>
          <w:rFonts w:ascii="Arial" w:hAnsi="Arial" w:cs="Arial"/>
          <w:sz w:val="20"/>
          <w:szCs w:val="20"/>
        </w:rPr>
        <w:t xml:space="preserve"> provides an incentive to the utilities to maintain accountability for cost-effective </w:t>
      </w:r>
      <w:r w:rsidR="00974C1B">
        <w:rPr>
          <w:rFonts w:ascii="Arial" w:hAnsi="Arial" w:cs="Arial"/>
          <w:sz w:val="20"/>
          <w:szCs w:val="20"/>
        </w:rPr>
        <w:t>inter</w:t>
      </w:r>
      <w:r w:rsidR="00146AB4">
        <w:rPr>
          <w:rFonts w:ascii="Arial" w:hAnsi="Arial" w:cs="Arial"/>
          <w:sz w:val="20"/>
          <w:szCs w:val="20"/>
        </w:rPr>
        <w:t>connection of generation resources</w:t>
      </w:r>
      <w:r w:rsidRPr="00956DCD">
        <w:rPr>
          <w:rFonts w:ascii="Arial" w:hAnsi="Arial" w:cs="Arial"/>
          <w:sz w:val="20"/>
          <w:szCs w:val="20"/>
        </w:rPr>
        <w:t xml:space="preserve">. </w:t>
      </w:r>
    </w:p>
    <w:p w:rsidR="00203BDA" w:rsidRPr="00956DCD" w:rsidRDefault="00203BDA" w:rsidP="00203BDA">
      <w:pPr>
        <w:spacing w:after="120" w:line="288" w:lineRule="auto"/>
        <w:ind w:firstLine="720"/>
        <w:jc w:val="both"/>
        <w:rPr>
          <w:rFonts w:ascii="Arial" w:hAnsi="Arial" w:cs="Arial"/>
          <w:color w:val="505050"/>
          <w:sz w:val="20"/>
          <w:szCs w:val="20"/>
        </w:rPr>
      </w:pPr>
    </w:p>
    <w:p w:rsidR="006C79BD" w:rsidRPr="00C67797" w:rsidRDefault="006C79BD" w:rsidP="00AD57A0">
      <w:pPr>
        <w:pStyle w:val="BodyTextwithIndent"/>
        <w:spacing w:line="240" w:lineRule="auto"/>
        <w:ind w:firstLine="0"/>
        <w:jc w:val="left"/>
        <w:rPr>
          <w:rFonts w:ascii="Arial Black" w:hAnsi="Arial Black"/>
          <w:b/>
          <w:color w:val="4F81BD" w:themeColor="accent1"/>
          <w:sz w:val="22"/>
        </w:rPr>
      </w:pPr>
      <w:r w:rsidRPr="00C67797">
        <w:rPr>
          <w:rFonts w:ascii="Arial Black" w:hAnsi="Arial Black"/>
          <w:b/>
          <w:color w:val="4F81BD" w:themeColor="accent1"/>
          <w:sz w:val="22"/>
        </w:rPr>
        <w:t>Integrated Demand-side Energy Resources</w:t>
      </w:r>
    </w:p>
    <w:p w:rsidR="00203BDA" w:rsidRDefault="006C79BD" w:rsidP="00776D65">
      <w:pPr>
        <w:pStyle w:val="BodyTextwithIndent"/>
        <w:spacing w:after="240" w:line="288" w:lineRule="auto"/>
        <w:ind w:firstLine="720"/>
        <w:rPr>
          <w:color w:val="auto"/>
        </w:rPr>
      </w:pPr>
      <w:r w:rsidRPr="00956DCD">
        <w:rPr>
          <w:color w:val="auto"/>
        </w:rPr>
        <w:t>ORA supports the CPUC’s goal of meeting energy needs by first reducing the need for additional generation and infrastructure. ORA advocates for policies and programs that effectively reduce pollution and system costs through programs that encourage conservation, effic</w:t>
      </w:r>
      <w:r w:rsidR="00974C1B">
        <w:rPr>
          <w:color w:val="auto"/>
        </w:rPr>
        <w:t>iency, and reduction of</w:t>
      </w:r>
      <w:r w:rsidRPr="00956DCD">
        <w:rPr>
          <w:color w:val="auto"/>
        </w:rPr>
        <w:t xml:space="preserve"> peak energy demand</w:t>
      </w:r>
      <w:r w:rsidR="00974C1B">
        <w:rPr>
          <w:color w:val="auto"/>
        </w:rPr>
        <w:t>, which</w:t>
      </w:r>
      <w:r w:rsidRPr="00956DCD">
        <w:rPr>
          <w:color w:val="auto"/>
        </w:rPr>
        <w:t xml:space="preserve"> reduce greenhouse gases without unduly burdening ratepayers.</w:t>
      </w:r>
    </w:p>
    <w:p w:rsidR="00203BDA" w:rsidRDefault="006C79BD" w:rsidP="00203BDA">
      <w:pPr>
        <w:pStyle w:val="BodyTextwithIndent"/>
        <w:spacing w:line="288" w:lineRule="auto"/>
        <w:ind w:firstLine="0"/>
        <w:rPr>
          <w:rFonts w:ascii="Arial Black" w:hAnsi="Arial Black"/>
          <w:b/>
          <w:color w:val="auto"/>
        </w:rPr>
      </w:pPr>
      <w:r w:rsidRPr="00956DCD">
        <w:rPr>
          <w:rFonts w:ascii="Arial Black" w:hAnsi="Arial Black"/>
          <w:b/>
          <w:color w:val="auto"/>
        </w:rPr>
        <w:t>Energy Efficiency</w:t>
      </w:r>
    </w:p>
    <w:p w:rsidR="00203BDA" w:rsidRDefault="006C79BD" w:rsidP="00203BDA">
      <w:pPr>
        <w:pStyle w:val="BodyTextwithIndent"/>
        <w:spacing w:line="288" w:lineRule="auto"/>
        <w:ind w:firstLine="720"/>
        <w:rPr>
          <w:color w:val="1F497D"/>
        </w:rPr>
      </w:pPr>
      <w:r w:rsidRPr="00956DCD">
        <w:t xml:space="preserve">In 2015, ORA advocated for utility and program administrators to submit Energy Efficiency business plans as part of the CPUC’s newly approved “rolling portfolios” approach, which will have longer and more flexible program cycles. ORA recommended that business plans should define program goals and demonstrate how implementers will achieve those goals for </w:t>
      </w:r>
      <w:r w:rsidR="006C0754">
        <w:t xml:space="preserve">the </w:t>
      </w:r>
      <w:r w:rsidRPr="00956DCD">
        <w:t xml:space="preserve">$1 billion </w:t>
      </w:r>
      <w:r w:rsidR="006C0754">
        <w:t>annual program administered by the utilities</w:t>
      </w:r>
      <w:r w:rsidRPr="00956DCD">
        <w:t>. The CPUC has endorsed the “business plan” approach, and in 2016, ORA will participate in a CPUC working group to help shape the final business plan framework.</w:t>
      </w:r>
      <w:r w:rsidRPr="00956DCD">
        <w:rPr>
          <w:color w:val="1F497D"/>
        </w:rPr>
        <w:t> </w:t>
      </w:r>
    </w:p>
    <w:p w:rsidR="003057FC" w:rsidRPr="00776D65" w:rsidRDefault="006C79BD" w:rsidP="00E40312">
      <w:pPr>
        <w:pStyle w:val="BodyTextwithIndent"/>
        <w:spacing w:line="288" w:lineRule="auto"/>
        <w:ind w:firstLine="720"/>
        <w:rPr>
          <w:rFonts w:ascii="Arial Black" w:hAnsi="Arial Black"/>
          <w:color w:val="auto"/>
        </w:rPr>
      </w:pPr>
      <w:r w:rsidRPr="00956DCD">
        <w:t>ORA recommends that the CPUC place more emphasis on Energy Efficiency programs that are administered by third party implementers selected via competitive solicitation</w:t>
      </w:r>
      <w:r w:rsidR="00FA0C36">
        <w:t>,</w:t>
      </w:r>
      <w:r w:rsidRPr="00956DCD">
        <w:t xml:space="preserve"> and managed by the utilities. This approach would result in more innovative and cost-effective energy saving programs. Energy Efficiency programs should be required to demonstrate clear cost benchmarking, largely based upon “pay for performance.” In 2015, ORA worked on developing policy guidelines for evaluating the effectiveness of</w:t>
      </w:r>
      <w:r w:rsidR="00FD56E1">
        <w:t xml:space="preserve"> </w:t>
      </w:r>
      <w:r w:rsidR="00776D65">
        <w:br/>
      </w:r>
      <w:r w:rsidR="00776D65">
        <w:lastRenderedPageBreak/>
        <w:br/>
      </w:r>
      <w:r w:rsidRPr="00956DCD">
        <w:t>Energy Efficiency programs to ensure that ratepayers do not fund programs that do not yield energy savings.</w:t>
      </w:r>
    </w:p>
    <w:p w:rsidR="00F01BA3" w:rsidRDefault="006C79BD" w:rsidP="00F01BA3">
      <w:pPr>
        <w:pStyle w:val="BodyTextwithIndent"/>
        <w:spacing w:after="0" w:line="288" w:lineRule="auto"/>
        <w:ind w:firstLine="0"/>
        <w:rPr>
          <w:rFonts w:ascii="Arial Black" w:hAnsi="Arial Black"/>
          <w:b/>
          <w:color w:val="auto"/>
        </w:rPr>
      </w:pPr>
      <w:r w:rsidRPr="00956DCD">
        <w:rPr>
          <w:rFonts w:ascii="Arial Black" w:hAnsi="Arial Black"/>
          <w:b/>
          <w:color w:val="auto"/>
        </w:rPr>
        <w:t>Demand Response</w:t>
      </w:r>
    </w:p>
    <w:p w:rsidR="006C79BD" w:rsidRPr="00F01BA3" w:rsidRDefault="006C79BD" w:rsidP="00F01BA3">
      <w:pPr>
        <w:pStyle w:val="BodyTextwithIndent"/>
        <w:spacing w:after="0" w:line="288" w:lineRule="auto"/>
        <w:ind w:firstLine="720"/>
        <w:rPr>
          <w:rFonts w:ascii="Arial Black" w:hAnsi="Arial Black"/>
          <w:b/>
          <w:color w:val="auto"/>
        </w:rPr>
      </w:pPr>
      <w:r w:rsidRPr="00956DCD">
        <w:t xml:space="preserve">Demand Response is an important strategy to avoid expensive and polluting generation in support of achieving the state’s climate goals. </w:t>
      </w:r>
    </w:p>
    <w:p w:rsidR="006C79BD" w:rsidRPr="00956DCD" w:rsidRDefault="006C79BD" w:rsidP="00CF2365">
      <w:pPr>
        <w:pStyle w:val="bodytextwithindent0"/>
        <w:spacing w:line="288" w:lineRule="auto"/>
        <w:ind w:firstLine="720"/>
      </w:pPr>
      <w:r w:rsidRPr="00956DCD">
        <w:t xml:space="preserve">ORA supported the CPUC’s proposal to develop a pilot program for a Demand Response Auction Mechanism (DRAM) as a method </w:t>
      </w:r>
      <w:r w:rsidR="00FD56E1">
        <w:t>to procure more cost-effective D</w:t>
      </w:r>
      <w:r w:rsidRPr="00956DCD">
        <w:t xml:space="preserve">emand </w:t>
      </w:r>
      <w:r w:rsidR="00FD56E1">
        <w:t>R</w:t>
      </w:r>
      <w:r w:rsidRPr="00956DCD">
        <w:t xml:space="preserve">esponse and encourage its integration into the </w:t>
      </w:r>
      <w:r w:rsidRPr="00956DCD">
        <w:rPr>
          <w:rFonts w:eastAsia="Times New Roman"/>
        </w:rPr>
        <w:t>Independent System Operator (</w:t>
      </w:r>
      <w:r w:rsidRPr="00956DCD">
        <w:t>ISO) markets. The DRAM pilot will allow util</w:t>
      </w:r>
      <w:r w:rsidR="00FD56E1">
        <w:t>ities to competitively procure D</w:t>
      </w:r>
      <w:r w:rsidRPr="00956DCD">
        <w:t xml:space="preserve">emand </w:t>
      </w:r>
      <w:r w:rsidR="00FD56E1">
        <w:t>R</w:t>
      </w:r>
      <w:r w:rsidRPr="00956DCD">
        <w:t>esponse</w:t>
      </w:r>
      <w:r w:rsidR="00974C1B">
        <w:t>,</w:t>
      </w:r>
      <w:r w:rsidRPr="00956DCD">
        <w:t xml:space="preserve"> similar to supply-side resources,</w:t>
      </w:r>
      <w:r w:rsidR="00974C1B">
        <w:t xml:space="preserve"> and will</w:t>
      </w:r>
      <w:r w:rsidRPr="00956DCD">
        <w:t xml:space="preserve"> encourage competition. The CPUC adopted ORA’s recommendation to prevent polluting back-up-generation from participating in this program. ORA also advocated that DRAM pilots should meet full resource adequacy requirements to ensure that the pilots provide real system benefits. </w:t>
      </w:r>
    </w:p>
    <w:p w:rsidR="006C79BD" w:rsidRPr="00956DCD" w:rsidRDefault="006C79BD" w:rsidP="00627261">
      <w:pPr>
        <w:spacing w:after="120" w:line="288" w:lineRule="auto"/>
        <w:ind w:firstLine="720"/>
        <w:jc w:val="both"/>
        <w:rPr>
          <w:rFonts w:ascii="Arial" w:hAnsi="Arial" w:cs="Arial"/>
          <w:color w:val="000000"/>
          <w:sz w:val="20"/>
          <w:szCs w:val="20"/>
        </w:rPr>
      </w:pPr>
      <w:r w:rsidRPr="00956DCD">
        <w:rPr>
          <w:rFonts w:ascii="Arial" w:hAnsi="Arial" w:cs="Arial"/>
          <w:color w:val="000000"/>
          <w:sz w:val="20"/>
          <w:szCs w:val="20"/>
        </w:rPr>
        <w:t xml:space="preserve">ORA performed an in-depth analysis on the utilities’ Demand Response programs and found that they are highly under-utilized. Instead, the utilities’ used other non-preferred / more expensive resources despite the availability of Demand Response opportunities. Such under-utilization of Demand Response could result in customers paying for more expensive resources. Based on ORA’s findings and recommendations, the CPUC adopted utility reporting requirements to improve transparency and effectiveness of the Demand Response program. </w:t>
      </w:r>
    </w:p>
    <w:p w:rsidR="007C1629" w:rsidRPr="00956DCD" w:rsidRDefault="006C79BD" w:rsidP="00776D65">
      <w:pPr>
        <w:spacing w:line="288" w:lineRule="auto"/>
        <w:ind w:firstLine="720"/>
        <w:jc w:val="both"/>
        <w:rPr>
          <w:rFonts w:ascii="Arial" w:hAnsi="Arial" w:cs="Arial"/>
          <w:color w:val="000000"/>
          <w:sz w:val="20"/>
          <w:szCs w:val="20"/>
        </w:rPr>
      </w:pPr>
      <w:r w:rsidRPr="00956DCD">
        <w:rPr>
          <w:rFonts w:ascii="Arial" w:hAnsi="Arial" w:cs="Arial"/>
          <w:color w:val="000000"/>
          <w:sz w:val="20"/>
          <w:szCs w:val="20"/>
        </w:rPr>
        <w:t>ORA also advocated to ensure that funding for Demand Response programs leads to reductions in the procurement of fossil-fueled generation resources so</w:t>
      </w:r>
      <w:r w:rsidR="00B02CE6">
        <w:rPr>
          <w:rFonts w:ascii="Arial" w:hAnsi="Arial" w:cs="Arial"/>
          <w:color w:val="000000"/>
          <w:sz w:val="20"/>
          <w:szCs w:val="20"/>
        </w:rPr>
        <w:t xml:space="preserve"> that</w:t>
      </w:r>
      <w:r w:rsidRPr="00956DCD">
        <w:rPr>
          <w:rFonts w:ascii="Arial" w:hAnsi="Arial" w:cs="Arial"/>
          <w:color w:val="000000"/>
          <w:sz w:val="20"/>
          <w:szCs w:val="20"/>
        </w:rPr>
        <w:t xml:space="preserve"> ratepayers are not paying twice for the same capacity</w:t>
      </w:r>
      <w:r w:rsidR="008864B6">
        <w:rPr>
          <w:rFonts w:ascii="Arial" w:hAnsi="Arial" w:cs="Arial"/>
          <w:color w:val="000000"/>
          <w:sz w:val="20"/>
          <w:szCs w:val="20"/>
        </w:rPr>
        <w:t xml:space="preserve">, </w:t>
      </w:r>
      <w:r w:rsidR="008864B6" w:rsidRPr="00046833">
        <w:rPr>
          <w:rFonts w:ascii="Arial" w:hAnsi="Arial" w:cs="Arial"/>
          <w:color w:val="000000"/>
          <w:sz w:val="20"/>
          <w:szCs w:val="20"/>
        </w:rPr>
        <w:t>which ensures the resource is available</w:t>
      </w:r>
      <w:r w:rsidRPr="00046833">
        <w:rPr>
          <w:rFonts w:ascii="Arial" w:hAnsi="Arial" w:cs="Arial"/>
          <w:color w:val="000000"/>
          <w:sz w:val="20"/>
          <w:szCs w:val="20"/>
        </w:rPr>
        <w:t>. ORA</w:t>
      </w:r>
      <w:r w:rsidRPr="00956DCD">
        <w:rPr>
          <w:rFonts w:ascii="Arial" w:hAnsi="Arial" w:cs="Arial"/>
          <w:color w:val="000000"/>
          <w:sz w:val="20"/>
          <w:szCs w:val="20"/>
        </w:rPr>
        <w:t xml:space="preserve"> joined the Independent System Operator (ISO) in advocating that Demand Response resources should be integrated into ISO markets or reflected as a reduction in the California Energy Commission’s forecast of electric demand in order to assure reduction in procurement obligations. The CPUC ultimately chose to achieve this goal by determining that such Demand Response resources have no capacity value because there is no certainty that they will reduce procurement obligations. This will ensure that Demand Response provides real benefits to ratepayers by reducing procurement obligations. </w:t>
      </w:r>
    </w:p>
    <w:p w:rsidR="00776D65" w:rsidRPr="009D3759" w:rsidRDefault="00776D65" w:rsidP="007134AA">
      <w:pPr>
        <w:pStyle w:val="GreyHeading2StyleGroup1"/>
        <w:spacing w:after="0" w:line="240" w:lineRule="auto"/>
        <w:rPr>
          <w:rFonts w:ascii="Arial Black" w:hAnsi="Arial Black"/>
          <w:b w:val="0"/>
          <w:color w:val="4F81BD" w:themeColor="accent1"/>
        </w:rPr>
      </w:pPr>
    </w:p>
    <w:p w:rsidR="006C79BD" w:rsidRPr="00F26C58" w:rsidRDefault="006C79BD" w:rsidP="00720D4F">
      <w:pPr>
        <w:pStyle w:val="GreyHeading2StyleGroup1"/>
        <w:spacing w:line="288" w:lineRule="auto"/>
        <w:rPr>
          <w:rFonts w:ascii="Arial Black" w:hAnsi="Arial Black"/>
          <w:color w:val="4F81BD" w:themeColor="accent1"/>
          <w:sz w:val="22"/>
        </w:rPr>
      </w:pPr>
      <w:r w:rsidRPr="00F26C58">
        <w:rPr>
          <w:rFonts w:ascii="Arial Black" w:hAnsi="Arial Black"/>
          <w:color w:val="4F81BD" w:themeColor="accent1"/>
          <w:sz w:val="22"/>
        </w:rPr>
        <w:t xml:space="preserve">Greenhouse Gas </w:t>
      </w:r>
      <w:r w:rsidRPr="00010CA5">
        <w:rPr>
          <w:rFonts w:ascii="Arial Black" w:hAnsi="Arial Black"/>
          <w:color w:val="4F81BD" w:themeColor="accent1"/>
          <w:sz w:val="22"/>
        </w:rPr>
        <w:t>Cap</w:t>
      </w:r>
      <w:r w:rsidR="00010CA5" w:rsidRPr="00010CA5">
        <w:rPr>
          <w:rFonts w:ascii="Arial Black" w:hAnsi="Arial Black"/>
          <w:color w:val="4F81BD" w:themeColor="accent1"/>
          <w:sz w:val="22"/>
        </w:rPr>
        <w:t>-and-</w:t>
      </w:r>
      <w:r w:rsidRPr="00010CA5">
        <w:rPr>
          <w:rFonts w:ascii="Arial Black" w:hAnsi="Arial Black"/>
          <w:color w:val="4F81BD" w:themeColor="accent1"/>
          <w:sz w:val="22"/>
        </w:rPr>
        <w:t>Trade</w:t>
      </w:r>
      <w:r w:rsidRPr="00F26C58">
        <w:rPr>
          <w:rFonts w:ascii="Arial Black" w:hAnsi="Arial Black"/>
          <w:color w:val="4F81BD" w:themeColor="accent1"/>
          <w:sz w:val="22"/>
        </w:rPr>
        <w:t xml:space="preserve"> </w:t>
      </w:r>
    </w:p>
    <w:p w:rsidR="00AD57A0" w:rsidRDefault="006C79BD" w:rsidP="00776D65">
      <w:pPr>
        <w:shd w:val="clear" w:color="auto" w:fill="FFFFFF"/>
        <w:spacing w:line="288" w:lineRule="auto"/>
        <w:ind w:firstLine="720"/>
        <w:jc w:val="both"/>
        <w:rPr>
          <w:rFonts w:ascii="Arial" w:hAnsi="Arial" w:cs="Arial"/>
          <w:color w:val="000000" w:themeColor="text1"/>
          <w:sz w:val="20"/>
          <w:szCs w:val="20"/>
        </w:rPr>
      </w:pPr>
      <w:r w:rsidRPr="00956DCD">
        <w:rPr>
          <w:rFonts w:ascii="Arial" w:hAnsi="Arial" w:cs="Arial"/>
          <w:color w:val="000000" w:themeColor="text1"/>
          <w:sz w:val="20"/>
          <w:szCs w:val="20"/>
        </w:rPr>
        <w:t>ORA generally supports the CPUC’s decision adopting procedures for natural gas corporations to comply</w:t>
      </w:r>
      <w:r w:rsidR="00B02CE6">
        <w:rPr>
          <w:rFonts w:ascii="Arial" w:hAnsi="Arial" w:cs="Arial"/>
          <w:color w:val="000000" w:themeColor="text1"/>
          <w:sz w:val="20"/>
          <w:szCs w:val="20"/>
        </w:rPr>
        <w:t xml:space="preserve"> with the </w:t>
      </w:r>
      <w:r w:rsidR="00B02CE6" w:rsidRPr="00010CA5">
        <w:rPr>
          <w:rFonts w:ascii="Arial" w:hAnsi="Arial" w:cs="Arial"/>
          <w:color w:val="000000" w:themeColor="text1"/>
          <w:sz w:val="20"/>
          <w:szCs w:val="20"/>
        </w:rPr>
        <w:t>Cap-and-Trade</w:t>
      </w:r>
      <w:r w:rsidR="00B02CE6">
        <w:rPr>
          <w:rFonts w:ascii="Arial" w:hAnsi="Arial" w:cs="Arial"/>
          <w:color w:val="000000" w:themeColor="text1"/>
          <w:sz w:val="20"/>
          <w:szCs w:val="20"/>
        </w:rPr>
        <w:t xml:space="preserve"> program. This decision </w:t>
      </w:r>
      <w:r w:rsidRPr="00956DCD">
        <w:rPr>
          <w:rFonts w:ascii="Arial" w:hAnsi="Arial" w:cs="Arial"/>
          <w:color w:val="000000" w:themeColor="text1"/>
          <w:sz w:val="20"/>
          <w:szCs w:val="20"/>
        </w:rPr>
        <w:t>include</w:t>
      </w:r>
      <w:r w:rsidR="00B02CE6">
        <w:rPr>
          <w:rFonts w:ascii="Arial" w:hAnsi="Arial" w:cs="Arial"/>
          <w:color w:val="000000" w:themeColor="text1"/>
          <w:sz w:val="20"/>
          <w:szCs w:val="20"/>
        </w:rPr>
        <w:t>s</w:t>
      </w:r>
      <w:r w:rsidRPr="00956DCD">
        <w:rPr>
          <w:rFonts w:ascii="Arial" w:hAnsi="Arial" w:cs="Arial"/>
          <w:color w:val="000000" w:themeColor="text1"/>
          <w:sz w:val="20"/>
          <w:szCs w:val="20"/>
        </w:rPr>
        <w:t xml:space="preserve"> ORA’s recommendation</w:t>
      </w:r>
      <w:r w:rsidRPr="00956DCD">
        <w:rPr>
          <w:rFonts w:ascii="Arial" w:hAnsi="Arial" w:cs="Arial"/>
          <w:strike/>
          <w:color w:val="000000" w:themeColor="text1"/>
          <w:sz w:val="20"/>
          <w:szCs w:val="20"/>
        </w:rPr>
        <w:t>s</w:t>
      </w:r>
      <w:r w:rsidRPr="00956DCD">
        <w:rPr>
          <w:rFonts w:ascii="Arial" w:hAnsi="Arial" w:cs="Arial"/>
          <w:color w:val="000000" w:themeColor="text1"/>
          <w:sz w:val="20"/>
          <w:szCs w:val="20"/>
        </w:rPr>
        <w:t xml:space="preserve"> to maintain the </w:t>
      </w:r>
      <w:r w:rsidR="00974C1B">
        <w:rPr>
          <w:rFonts w:ascii="Arial" w:hAnsi="Arial" w:cs="Arial"/>
          <w:color w:val="000000" w:themeColor="text1"/>
          <w:sz w:val="20"/>
          <w:szCs w:val="20"/>
        </w:rPr>
        <w:t xml:space="preserve">California </w:t>
      </w:r>
      <w:r w:rsidRPr="00956DCD">
        <w:rPr>
          <w:rFonts w:ascii="Arial" w:hAnsi="Arial" w:cs="Arial"/>
          <w:color w:val="000000" w:themeColor="text1"/>
          <w:sz w:val="20"/>
          <w:szCs w:val="20"/>
        </w:rPr>
        <w:t>Air Resource Board’s</w:t>
      </w:r>
      <w:r w:rsidR="00B02CE6">
        <w:rPr>
          <w:rFonts w:ascii="Arial" w:hAnsi="Arial" w:cs="Arial"/>
          <w:color w:val="000000" w:themeColor="text1"/>
          <w:sz w:val="20"/>
          <w:szCs w:val="20"/>
        </w:rPr>
        <w:t xml:space="preserve"> (CARB)</w:t>
      </w:r>
      <w:r w:rsidRPr="00956DCD">
        <w:rPr>
          <w:rFonts w:ascii="Arial" w:hAnsi="Arial" w:cs="Arial"/>
          <w:color w:val="000000" w:themeColor="text1"/>
          <w:sz w:val="20"/>
          <w:szCs w:val="20"/>
        </w:rPr>
        <w:t xml:space="preserve"> minimum requirements for </w:t>
      </w:r>
      <w:r w:rsidR="0079338B">
        <w:rPr>
          <w:rFonts w:ascii="Arial" w:hAnsi="Arial" w:cs="Arial"/>
          <w:color w:val="000000" w:themeColor="text1"/>
          <w:sz w:val="20"/>
          <w:szCs w:val="20"/>
        </w:rPr>
        <w:t>committing</w:t>
      </w:r>
      <w:r w:rsidR="0079338B" w:rsidRPr="00956DCD">
        <w:rPr>
          <w:rFonts w:ascii="Arial" w:hAnsi="Arial" w:cs="Arial"/>
          <w:color w:val="000000" w:themeColor="text1"/>
          <w:sz w:val="20"/>
          <w:szCs w:val="20"/>
        </w:rPr>
        <w:t xml:space="preserve"> </w:t>
      </w:r>
      <w:r w:rsidRPr="00956DCD">
        <w:rPr>
          <w:rFonts w:ascii="Arial" w:hAnsi="Arial" w:cs="Arial"/>
          <w:color w:val="000000" w:themeColor="text1"/>
          <w:sz w:val="20"/>
          <w:szCs w:val="20"/>
        </w:rPr>
        <w:t xml:space="preserve">allowances to CARB’s </w:t>
      </w:r>
      <w:r w:rsidRPr="00010CA5">
        <w:rPr>
          <w:rFonts w:ascii="Arial" w:hAnsi="Arial" w:cs="Arial"/>
          <w:color w:val="000000" w:themeColor="text1"/>
          <w:sz w:val="20"/>
          <w:szCs w:val="20"/>
        </w:rPr>
        <w:t>Cap</w:t>
      </w:r>
      <w:r w:rsidR="00010CA5" w:rsidRPr="00010CA5">
        <w:rPr>
          <w:rFonts w:ascii="Arial" w:hAnsi="Arial" w:cs="Arial"/>
          <w:color w:val="000000" w:themeColor="text1"/>
          <w:sz w:val="20"/>
          <w:szCs w:val="20"/>
        </w:rPr>
        <w:t>-</w:t>
      </w:r>
      <w:r w:rsidRPr="00010CA5">
        <w:rPr>
          <w:rFonts w:ascii="Arial" w:hAnsi="Arial" w:cs="Arial"/>
          <w:color w:val="000000" w:themeColor="text1"/>
          <w:sz w:val="20"/>
          <w:szCs w:val="20"/>
        </w:rPr>
        <w:t>and</w:t>
      </w:r>
      <w:r w:rsidR="00010CA5" w:rsidRPr="00010CA5">
        <w:rPr>
          <w:rFonts w:ascii="Arial" w:hAnsi="Arial" w:cs="Arial"/>
          <w:color w:val="000000" w:themeColor="text1"/>
          <w:sz w:val="20"/>
          <w:szCs w:val="20"/>
        </w:rPr>
        <w:t>-</w:t>
      </w:r>
      <w:r w:rsidRPr="00010CA5">
        <w:rPr>
          <w:rFonts w:ascii="Arial" w:hAnsi="Arial" w:cs="Arial"/>
          <w:color w:val="000000" w:themeColor="text1"/>
          <w:sz w:val="20"/>
          <w:szCs w:val="20"/>
        </w:rPr>
        <w:t>Trade</w:t>
      </w:r>
      <w:r w:rsidRPr="00956DCD">
        <w:rPr>
          <w:rFonts w:ascii="Arial" w:hAnsi="Arial" w:cs="Arial"/>
          <w:color w:val="000000" w:themeColor="text1"/>
          <w:sz w:val="20"/>
          <w:szCs w:val="20"/>
        </w:rPr>
        <w:t xml:space="preserve"> auction. These requirements, which gradually increase the amount of allowances that must be</w:t>
      </w:r>
      <w:r w:rsidR="006165F7">
        <w:rPr>
          <w:rFonts w:ascii="Arial" w:hAnsi="Arial" w:cs="Arial"/>
          <w:color w:val="000000" w:themeColor="text1"/>
          <w:sz w:val="20"/>
          <w:szCs w:val="20"/>
        </w:rPr>
        <w:t xml:space="preserve"> committed</w:t>
      </w:r>
      <w:r w:rsidRPr="00956DCD">
        <w:rPr>
          <w:rFonts w:ascii="Arial" w:hAnsi="Arial" w:cs="Arial"/>
          <w:color w:val="000000" w:themeColor="text1"/>
          <w:sz w:val="20"/>
          <w:szCs w:val="20"/>
        </w:rPr>
        <w:t xml:space="preserve">, are essential for sending appropriate market signals to reduce greenhouse gas (GHG) emissions, while preventing abrupt increases in customer rates. ORA also succeeded in ensuring that the proceeds from natural gas GHG allowances will be returned to customers, rather than diverted to already well-funded clean energy programs. Returning the proceeds from GHG allowances sold at </w:t>
      </w:r>
      <w:r w:rsidR="00FD56E1">
        <w:rPr>
          <w:rFonts w:ascii="Arial" w:hAnsi="Arial" w:cs="Arial"/>
          <w:color w:val="000000" w:themeColor="text1"/>
          <w:sz w:val="20"/>
          <w:szCs w:val="20"/>
        </w:rPr>
        <w:t>CARB</w:t>
      </w:r>
      <w:r w:rsidRPr="00956DCD">
        <w:rPr>
          <w:rFonts w:ascii="Arial" w:hAnsi="Arial" w:cs="Arial"/>
          <w:color w:val="000000" w:themeColor="text1"/>
          <w:sz w:val="20"/>
          <w:szCs w:val="20"/>
        </w:rPr>
        <w:t>’s auction to customers will mitigate the increased price of goods and services associated with the cost of GHG emissions.</w:t>
      </w:r>
    </w:p>
    <w:p w:rsidR="00E57FCE" w:rsidRPr="00F01BA3" w:rsidRDefault="006C79BD" w:rsidP="00AD57A0">
      <w:pPr>
        <w:shd w:val="clear" w:color="auto" w:fill="FFFFFF"/>
        <w:spacing w:after="120" w:line="288" w:lineRule="auto"/>
        <w:ind w:firstLine="720"/>
        <w:jc w:val="both"/>
        <w:rPr>
          <w:rFonts w:ascii="Arial" w:hAnsi="Arial" w:cs="Arial"/>
          <w:sz w:val="20"/>
          <w:szCs w:val="20"/>
        </w:rPr>
      </w:pPr>
      <w:r w:rsidRPr="00956DCD">
        <w:rPr>
          <w:rFonts w:ascii="Arial" w:hAnsi="Arial" w:cs="Arial"/>
          <w:color w:val="000000" w:themeColor="text1"/>
          <w:sz w:val="20"/>
          <w:szCs w:val="20"/>
        </w:rPr>
        <w:t xml:space="preserve"> </w:t>
      </w:r>
    </w:p>
    <w:p w:rsidR="007C1629" w:rsidRDefault="006C79BD" w:rsidP="00AD57A0">
      <w:pPr>
        <w:pStyle w:val="GreyHeading2StyleGroup1"/>
        <w:spacing w:line="240" w:lineRule="auto"/>
        <w:rPr>
          <w:rFonts w:ascii="Arial Black" w:hAnsi="Arial Black"/>
          <w:b w:val="0"/>
        </w:rPr>
      </w:pPr>
      <w:r w:rsidRPr="00F26C58">
        <w:rPr>
          <w:rFonts w:ascii="Arial Black" w:hAnsi="Arial Black"/>
          <w:color w:val="4F81BD" w:themeColor="accent1"/>
          <w:sz w:val="22"/>
        </w:rPr>
        <w:t>Transmission</w:t>
      </w:r>
    </w:p>
    <w:p w:rsidR="006C79BD" w:rsidRPr="006E59BC" w:rsidRDefault="006C79BD" w:rsidP="00AD57A0">
      <w:pPr>
        <w:pStyle w:val="NoSpacing"/>
        <w:spacing w:after="120"/>
        <w:rPr>
          <w:rFonts w:ascii="Arial Black" w:hAnsi="Arial Black" w:cs="Arial"/>
          <w:sz w:val="20"/>
          <w:szCs w:val="20"/>
        </w:rPr>
      </w:pPr>
      <w:r w:rsidRPr="006E59BC">
        <w:rPr>
          <w:rFonts w:ascii="Arial Black" w:hAnsi="Arial Black" w:cs="Arial"/>
          <w:b/>
          <w:sz w:val="20"/>
          <w:szCs w:val="20"/>
        </w:rPr>
        <w:t>Energy Imbalance Market</w:t>
      </w:r>
      <w:r w:rsidR="00B02CE6">
        <w:rPr>
          <w:rFonts w:ascii="Arial Black" w:hAnsi="Arial Black" w:cs="Arial"/>
          <w:b/>
          <w:sz w:val="20"/>
          <w:szCs w:val="20"/>
        </w:rPr>
        <w:t xml:space="preserve"> </w:t>
      </w:r>
      <w:r w:rsidR="00B02CE6" w:rsidRPr="006E59BC">
        <w:rPr>
          <w:rFonts w:ascii="Arial Black" w:hAnsi="Arial Black" w:cs="Arial"/>
          <w:b/>
          <w:sz w:val="20"/>
          <w:szCs w:val="20"/>
        </w:rPr>
        <w:t>(EIM)</w:t>
      </w:r>
      <w:r w:rsidRPr="006E59BC">
        <w:rPr>
          <w:rFonts w:ascii="Arial Black" w:hAnsi="Arial Black" w:cs="Arial"/>
          <w:b/>
          <w:sz w:val="20"/>
          <w:szCs w:val="20"/>
        </w:rPr>
        <w:t xml:space="preserve"> </w:t>
      </w:r>
    </w:p>
    <w:p w:rsidR="00776D65" w:rsidRPr="009D3759" w:rsidRDefault="006C79BD" w:rsidP="009D3759">
      <w:pPr>
        <w:spacing w:after="120" w:line="288" w:lineRule="auto"/>
        <w:ind w:firstLine="720"/>
        <w:jc w:val="both"/>
        <w:rPr>
          <w:rFonts w:ascii="Arial" w:hAnsi="Arial" w:cs="Arial"/>
          <w:sz w:val="22"/>
        </w:rPr>
      </w:pPr>
      <w:r w:rsidRPr="00956DCD">
        <w:rPr>
          <w:rFonts w:ascii="Arial" w:hAnsi="Arial" w:cs="Arial"/>
          <w:sz w:val="20"/>
          <w:szCs w:val="20"/>
        </w:rPr>
        <w:t xml:space="preserve">In 2015, ORA participated in the Independent System Operator’s (ISO) stakeholder initiatives to represent the interests of ratepayers in </w:t>
      </w:r>
      <w:r w:rsidRPr="00956DCD">
        <w:rPr>
          <w:rFonts w:ascii="Arial" w:eastAsia="SimSun" w:hAnsi="Arial" w:cs="Arial"/>
          <w:sz w:val="20"/>
          <w:szCs w:val="20"/>
        </w:rPr>
        <w:t>the development of the Energy Imbalance Market (EIM), which will</w:t>
      </w:r>
      <w:r w:rsidRPr="00956DCD">
        <w:rPr>
          <w:rFonts w:ascii="Arial" w:eastAsia="SimSun" w:hAnsi="Arial" w:cs="Arial"/>
          <w:color w:val="818285"/>
          <w:sz w:val="20"/>
          <w:szCs w:val="20"/>
        </w:rPr>
        <w:t xml:space="preserve"> </w:t>
      </w:r>
      <w:r w:rsidRPr="00956DCD">
        <w:rPr>
          <w:rFonts w:ascii="Arial" w:eastAsia="SimSun" w:hAnsi="Arial" w:cs="Arial"/>
          <w:color w:val="000000" w:themeColor="text1"/>
          <w:sz w:val="20"/>
          <w:szCs w:val="20"/>
        </w:rPr>
        <w:t xml:space="preserve">extend the ISO real-time market to other balancing authorities in the western United States. The </w:t>
      </w:r>
      <w:r w:rsidR="007F5425" w:rsidRPr="00956DCD">
        <w:rPr>
          <w:rFonts w:ascii="Arial" w:eastAsia="SimSun" w:hAnsi="Arial" w:cs="Arial"/>
          <w:sz w:val="20"/>
          <w:szCs w:val="20"/>
        </w:rPr>
        <w:t>Energy Imbalance Market</w:t>
      </w:r>
      <w:r w:rsidRPr="00956DCD">
        <w:rPr>
          <w:rFonts w:ascii="Arial" w:eastAsia="SimSun" w:hAnsi="Arial" w:cs="Arial"/>
          <w:color w:val="000000" w:themeColor="text1"/>
          <w:sz w:val="20"/>
          <w:szCs w:val="20"/>
        </w:rPr>
        <w:t xml:space="preserve"> automatically balances supply and demand for electricity every fifteen minutes, dispatch</w:t>
      </w:r>
      <w:r w:rsidR="00FF013D">
        <w:rPr>
          <w:rFonts w:ascii="Arial" w:eastAsia="SimSun" w:hAnsi="Arial" w:cs="Arial"/>
          <w:color w:val="000000" w:themeColor="text1"/>
          <w:sz w:val="20"/>
          <w:szCs w:val="20"/>
        </w:rPr>
        <w:t>ing the</w:t>
      </w:r>
      <w:r w:rsidRPr="00956DCD">
        <w:rPr>
          <w:rFonts w:ascii="Arial" w:eastAsia="SimSun" w:hAnsi="Arial" w:cs="Arial"/>
          <w:color w:val="000000" w:themeColor="text1"/>
          <w:sz w:val="20"/>
          <w:szCs w:val="20"/>
        </w:rPr>
        <w:t xml:space="preserve"> least-cost resources every 5-minutes. ORA engaged in the ISO’s process to develop a long-term governance structure for the EIM board for the purpose of ensuring that all entities, both inside and outside California, are given a voice in the decision-making process going forward. </w:t>
      </w:r>
      <w:r w:rsidR="0088400F">
        <w:rPr>
          <w:rFonts w:ascii="Arial" w:hAnsi="Arial" w:cs="Arial"/>
          <w:sz w:val="20"/>
          <w:szCs w:val="20"/>
        </w:rPr>
        <w:t xml:space="preserve">The </w:t>
      </w:r>
      <w:r w:rsidRPr="00956DCD">
        <w:rPr>
          <w:rFonts w:ascii="Arial" w:hAnsi="Arial" w:cs="Arial"/>
          <w:sz w:val="20"/>
          <w:szCs w:val="20"/>
        </w:rPr>
        <w:t xml:space="preserve">ISO is launching several other initiatives related to regional </w:t>
      </w:r>
      <w:r w:rsidR="007F5425">
        <w:rPr>
          <w:rFonts w:ascii="Arial" w:hAnsi="Arial" w:cs="Arial"/>
          <w:sz w:val="20"/>
          <w:szCs w:val="20"/>
        </w:rPr>
        <w:t xml:space="preserve">electric </w:t>
      </w:r>
      <w:r w:rsidRPr="00956DCD">
        <w:rPr>
          <w:rFonts w:ascii="Arial" w:hAnsi="Arial" w:cs="Arial"/>
          <w:sz w:val="20"/>
          <w:szCs w:val="20"/>
        </w:rPr>
        <w:t>grid management. ORA will participate in those processes to examine the impact to California ratepayers.</w:t>
      </w:r>
    </w:p>
    <w:p w:rsidR="006C79BD" w:rsidRPr="00956DCD" w:rsidRDefault="006C79BD" w:rsidP="00AD57A0">
      <w:pPr>
        <w:pStyle w:val="GreyHeading2StyleGroup1"/>
        <w:spacing w:line="240" w:lineRule="auto"/>
        <w:jc w:val="left"/>
        <w:rPr>
          <w:rFonts w:ascii="Arial Black" w:hAnsi="Arial Black"/>
          <w:color w:val="auto"/>
        </w:rPr>
      </w:pPr>
      <w:r w:rsidRPr="00956DCD">
        <w:rPr>
          <w:rFonts w:ascii="Arial Black" w:hAnsi="Arial Black"/>
          <w:color w:val="auto"/>
        </w:rPr>
        <w:t>S</w:t>
      </w:r>
      <w:r w:rsidRPr="00956DCD">
        <w:rPr>
          <w:rStyle w:val="Hyperlink"/>
          <w:rFonts w:ascii="Arial Black" w:hAnsi="Arial Black"/>
          <w:color w:val="auto"/>
          <w:u w:val="none"/>
        </w:rPr>
        <w:t>outh Orange County Reliability Enhancement Project (</w:t>
      </w:r>
      <w:r w:rsidRPr="00956DCD">
        <w:rPr>
          <w:rFonts w:ascii="Arial Black" w:hAnsi="Arial Black"/>
          <w:color w:val="auto"/>
        </w:rPr>
        <w:t xml:space="preserve">SOCREP) – SDG&amp;E </w:t>
      </w:r>
    </w:p>
    <w:p w:rsidR="006C79BD" w:rsidRPr="00956DCD" w:rsidRDefault="006C79BD" w:rsidP="002F6472">
      <w:pPr>
        <w:spacing w:after="120" w:line="288" w:lineRule="auto"/>
        <w:ind w:firstLine="720"/>
        <w:jc w:val="both"/>
        <w:rPr>
          <w:rFonts w:ascii="Arial" w:hAnsi="Arial" w:cs="Arial"/>
          <w:sz w:val="20"/>
          <w:szCs w:val="20"/>
        </w:rPr>
      </w:pPr>
      <w:r w:rsidRPr="00956DCD">
        <w:rPr>
          <w:rFonts w:ascii="Arial" w:hAnsi="Arial" w:cs="Arial"/>
          <w:sz w:val="20"/>
          <w:szCs w:val="20"/>
        </w:rPr>
        <w:t xml:space="preserve">ORA reviewed SDG&amp;E’s $400 - 600 million SOCREP proposal </w:t>
      </w:r>
      <w:r w:rsidR="007F5425">
        <w:rPr>
          <w:rFonts w:ascii="Arial" w:hAnsi="Arial" w:cs="Arial"/>
          <w:sz w:val="20"/>
          <w:szCs w:val="20"/>
        </w:rPr>
        <w:t>which would</w:t>
      </w:r>
      <w:r w:rsidRPr="00956DCD">
        <w:rPr>
          <w:rFonts w:ascii="Arial" w:hAnsi="Arial" w:cs="Arial"/>
          <w:sz w:val="20"/>
          <w:szCs w:val="20"/>
        </w:rPr>
        <w:t xml:space="preserve"> make technical upgrades to its Capistrano Substation so it can supply </w:t>
      </w:r>
      <w:r w:rsidRPr="00956DCD">
        <w:rPr>
          <w:rFonts w:ascii="Arial" w:hAnsi="Arial" w:cs="Arial"/>
          <w:color w:val="000000"/>
          <w:sz w:val="20"/>
          <w:szCs w:val="20"/>
        </w:rPr>
        <w:t xml:space="preserve">power to the South Orange County area from two 230 </w:t>
      </w:r>
      <w:r w:rsidR="009D3759">
        <w:rPr>
          <w:rFonts w:ascii="Arial" w:hAnsi="Arial" w:cs="Arial"/>
          <w:color w:val="000000"/>
          <w:sz w:val="20"/>
          <w:szCs w:val="20"/>
        </w:rPr>
        <w:br/>
      </w:r>
      <w:r w:rsidR="009D3759">
        <w:rPr>
          <w:rFonts w:ascii="Arial" w:hAnsi="Arial" w:cs="Arial"/>
          <w:color w:val="000000"/>
          <w:sz w:val="20"/>
          <w:szCs w:val="20"/>
        </w:rPr>
        <w:lastRenderedPageBreak/>
        <w:br/>
      </w:r>
      <w:r w:rsidRPr="00956DCD">
        <w:rPr>
          <w:rFonts w:ascii="Arial" w:hAnsi="Arial" w:cs="Arial"/>
          <w:color w:val="000000"/>
          <w:sz w:val="20"/>
          <w:szCs w:val="20"/>
        </w:rPr>
        <w:t>kV sources</w:t>
      </w:r>
      <w:r w:rsidRPr="00956DCD">
        <w:rPr>
          <w:rFonts w:ascii="Arial" w:hAnsi="Arial" w:cs="Arial"/>
          <w:sz w:val="20"/>
          <w:szCs w:val="20"/>
        </w:rPr>
        <w:t>, the Talega and Capistrano subs</w:t>
      </w:r>
      <w:r w:rsidR="008C265C">
        <w:rPr>
          <w:rFonts w:ascii="Arial" w:hAnsi="Arial" w:cs="Arial"/>
          <w:sz w:val="20"/>
          <w:szCs w:val="20"/>
        </w:rPr>
        <w:t>tations</w:t>
      </w:r>
      <w:r w:rsidR="007F5425">
        <w:rPr>
          <w:rFonts w:ascii="Arial" w:hAnsi="Arial" w:cs="Arial"/>
          <w:sz w:val="20"/>
          <w:szCs w:val="20"/>
        </w:rPr>
        <w:t>.</w:t>
      </w:r>
      <w:r w:rsidR="008C265C">
        <w:rPr>
          <w:rFonts w:ascii="Arial" w:hAnsi="Arial" w:cs="Arial"/>
          <w:sz w:val="20"/>
          <w:szCs w:val="20"/>
        </w:rPr>
        <w:t xml:space="preserve"> SDG&amp;E assert</w:t>
      </w:r>
      <w:r w:rsidR="007F5425">
        <w:rPr>
          <w:rFonts w:ascii="Arial" w:hAnsi="Arial" w:cs="Arial"/>
          <w:sz w:val="20"/>
          <w:szCs w:val="20"/>
        </w:rPr>
        <w:t>s this upgrade</w:t>
      </w:r>
      <w:r w:rsidR="008C265C">
        <w:rPr>
          <w:rFonts w:ascii="Arial" w:hAnsi="Arial" w:cs="Arial"/>
          <w:sz w:val="20"/>
          <w:szCs w:val="20"/>
        </w:rPr>
        <w:t xml:space="preserve"> i</w:t>
      </w:r>
      <w:r w:rsidRPr="00956DCD">
        <w:rPr>
          <w:rFonts w:ascii="Arial" w:hAnsi="Arial" w:cs="Arial"/>
          <w:sz w:val="20"/>
          <w:szCs w:val="20"/>
        </w:rPr>
        <w:t>s needed for greater transmission r</w:t>
      </w:r>
      <w:r w:rsidR="008C265C">
        <w:rPr>
          <w:rFonts w:ascii="Arial" w:hAnsi="Arial" w:cs="Arial"/>
          <w:sz w:val="20"/>
          <w:szCs w:val="20"/>
        </w:rPr>
        <w:t>eliability. ORA’s analysis shows</w:t>
      </w:r>
      <w:r w:rsidRPr="00956DCD">
        <w:rPr>
          <w:rFonts w:ascii="Arial" w:hAnsi="Arial" w:cs="Arial"/>
          <w:sz w:val="20"/>
          <w:szCs w:val="20"/>
        </w:rPr>
        <w:t xml:space="preserve"> </w:t>
      </w:r>
      <w:r w:rsidR="008C265C">
        <w:rPr>
          <w:rFonts w:ascii="Arial" w:hAnsi="Arial" w:cs="Arial"/>
          <w:sz w:val="20"/>
          <w:szCs w:val="20"/>
        </w:rPr>
        <w:t>that the project i</w:t>
      </w:r>
      <w:r w:rsidRPr="00956DCD">
        <w:rPr>
          <w:rFonts w:ascii="Arial" w:hAnsi="Arial" w:cs="Arial"/>
          <w:sz w:val="20"/>
          <w:szCs w:val="20"/>
        </w:rPr>
        <w:t>s not needed and that SDG&amp;E had not considered more reliable and cost-effective alternatives. ORA proposed a more efficient alternative, transmitting</w:t>
      </w:r>
      <w:r w:rsidR="008C265C">
        <w:rPr>
          <w:rFonts w:ascii="Arial" w:hAnsi="Arial" w:cs="Arial"/>
          <w:sz w:val="20"/>
          <w:szCs w:val="20"/>
        </w:rPr>
        <w:t xml:space="preserve"> the power through the Trabuco s</w:t>
      </w:r>
      <w:r w:rsidRPr="00956DCD">
        <w:rPr>
          <w:rFonts w:ascii="Arial" w:hAnsi="Arial" w:cs="Arial"/>
          <w:sz w:val="20"/>
          <w:szCs w:val="20"/>
        </w:rPr>
        <w:t xml:space="preserve">ubstation, which would improve power supply reliability and cost ratepayers significantly less. Subsequently, the CPUC’s Energy Division recirculated for public comment the Draft Environmental Impact Report with </w:t>
      </w:r>
      <w:r w:rsidR="00D33EF3">
        <w:rPr>
          <w:rFonts w:ascii="Arial" w:hAnsi="Arial" w:cs="Arial"/>
          <w:sz w:val="20"/>
          <w:szCs w:val="20"/>
        </w:rPr>
        <w:t xml:space="preserve">ORA’s recommended </w:t>
      </w:r>
      <w:r w:rsidRPr="00956DCD">
        <w:rPr>
          <w:rFonts w:ascii="Arial" w:hAnsi="Arial" w:cs="Arial"/>
          <w:sz w:val="20"/>
          <w:szCs w:val="20"/>
        </w:rPr>
        <w:t>Trabuco Substation alternative. If approved, the Trabuco alternative would save ratepayers $300-500 million, in comparison to SDG&amp;E’s original capital proposal.</w:t>
      </w:r>
    </w:p>
    <w:p w:rsidR="006C79BD" w:rsidRPr="00956DCD" w:rsidRDefault="006C79BD" w:rsidP="007F5425">
      <w:pPr>
        <w:pStyle w:val="GreyHeading2StyleGroup1"/>
        <w:spacing w:line="240" w:lineRule="auto"/>
        <w:jc w:val="left"/>
        <w:rPr>
          <w:rFonts w:ascii="Arial Black" w:hAnsi="Arial Black"/>
        </w:rPr>
      </w:pPr>
      <w:r w:rsidRPr="00956DCD">
        <w:rPr>
          <w:rFonts w:ascii="Arial Black" w:hAnsi="Arial Black"/>
        </w:rPr>
        <w:t>Riverside Transmission Reliability Project - Edison</w:t>
      </w:r>
    </w:p>
    <w:p w:rsidR="006C79BD" w:rsidRPr="00956DCD" w:rsidRDefault="006C79BD" w:rsidP="002F6472">
      <w:pPr>
        <w:spacing w:after="120" w:line="288" w:lineRule="auto"/>
        <w:ind w:firstLine="720"/>
        <w:jc w:val="both"/>
        <w:rPr>
          <w:rFonts w:ascii="Arial" w:hAnsi="Arial" w:cs="Arial"/>
          <w:color w:val="231F20"/>
          <w:sz w:val="20"/>
          <w:szCs w:val="20"/>
        </w:rPr>
      </w:pPr>
      <w:r w:rsidRPr="00956DCD">
        <w:rPr>
          <w:rFonts w:ascii="Arial" w:hAnsi="Arial" w:cs="Arial"/>
          <w:sz w:val="20"/>
          <w:szCs w:val="20"/>
        </w:rPr>
        <w:t>ORA performed a detailed review of Edison’s request to construct the Riverside Transmission Reliability Project (Riverside Project). Edison asserted that the 10-mile Riverside Project is needed for system reliability and to e</w:t>
      </w:r>
      <w:r w:rsidRPr="00956DCD">
        <w:rPr>
          <w:rFonts w:ascii="Arial" w:hAnsi="Arial" w:cs="Arial"/>
          <w:color w:val="231F20"/>
          <w:sz w:val="20"/>
          <w:szCs w:val="20"/>
        </w:rPr>
        <w:t>stablish a second power supply for Riverside at</w:t>
      </w:r>
      <w:r w:rsidRPr="00956DCD">
        <w:rPr>
          <w:rFonts w:ascii="Arial" w:hAnsi="Arial" w:cs="Arial"/>
          <w:sz w:val="20"/>
          <w:szCs w:val="20"/>
        </w:rPr>
        <w:t xml:space="preserve"> an estimated cost of $234 million. ORA’s preliminary analysis </w:t>
      </w:r>
      <w:r w:rsidRPr="00956DCD">
        <w:rPr>
          <w:rFonts w:ascii="Arial" w:hAnsi="Arial" w:cs="Arial"/>
          <w:color w:val="000000"/>
          <w:sz w:val="20"/>
          <w:szCs w:val="20"/>
        </w:rPr>
        <w:t>indicated that the project route may not be feasible and</w:t>
      </w:r>
      <w:r w:rsidR="008C265C">
        <w:rPr>
          <w:rFonts w:ascii="Arial" w:hAnsi="Arial" w:cs="Arial"/>
          <w:color w:val="000000"/>
          <w:sz w:val="20"/>
          <w:szCs w:val="20"/>
        </w:rPr>
        <w:t xml:space="preserve"> that</w:t>
      </w:r>
      <w:r w:rsidRPr="00956DCD">
        <w:rPr>
          <w:rFonts w:ascii="Arial" w:hAnsi="Arial" w:cs="Arial"/>
          <w:color w:val="000000"/>
          <w:sz w:val="20"/>
          <w:szCs w:val="20"/>
        </w:rPr>
        <w:t xml:space="preserve"> the project cost may be too high. </w:t>
      </w:r>
      <w:r w:rsidRPr="00956DCD">
        <w:rPr>
          <w:rFonts w:ascii="Arial" w:hAnsi="Arial" w:cs="Arial"/>
          <w:sz w:val="20"/>
          <w:szCs w:val="20"/>
        </w:rPr>
        <w:t xml:space="preserve">ORA will review the CPUC’s </w:t>
      </w:r>
      <w:r w:rsidR="00C25259">
        <w:rPr>
          <w:rFonts w:ascii="Arial" w:hAnsi="Arial" w:cs="Arial"/>
          <w:color w:val="231F20"/>
          <w:sz w:val="20"/>
          <w:szCs w:val="20"/>
        </w:rPr>
        <w:t>draft E</w:t>
      </w:r>
      <w:r w:rsidRPr="00956DCD">
        <w:rPr>
          <w:rFonts w:ascii="Arial" w:hAnsi="Arial" w:cs="Arial"/>
          <w:color w:val="231F20"/>
          <w:sz w:val="20"/>
          <w:szCs w:val="20"/>
        </w:rPr>
        <w:t xml:space="preserve">nvironmental </w:t>
      </w:r>
      <w:r w:rsidR="00C25259">
        <w:rPr>
          <w:rFonts w:ascii="Arial" w:hAnsi="Arial" w:cs="Arial"/>
          <w:color w:val="231F20"/>
          <w:sz w:val="20"/>
          <w:szCs w:val="20"/>
        </w:rPr>
        <w:t>I</w:t>
      </w:r>
      <w:r w:rsidRPr="00956DCD">
        <w:rPr>
          <w:rFonts w:ascii="Arial" w:hAnsi="Arial" w:cs="Arial"/>
          <w:color w:val="231F20"/>
          <w:sz w:val="20"/>
          <w:szCs w:val="20"/>
        </w:rPr>
        <w:t xml:space="preserve">mpact </w:t>
      </w:r>
      <w:r w:rsidR="00C25259">
        <w:rPr>
          <w:rFonts w:ascii="Arial" w:hAnsi="Arial" w:cs="Arial"/>
          <w:color w:val="231F20"/>
          <w:sz w:val="20"/>
          <w:szCs w:val="20"/>
        </w:rPr>
        <w:t>R</w:t>
      </w:r>
      <w:r w:rsidRPr="00956DCD">
        <w:rPr>
          <w:rFonts w:ascii="Arial" w:hAnsi="Arial" w:cs="Arial"/>
          <w:color w:val="231F20"/>
          <w:sz w:val="20"/>
          <w:szCs w:val="20"/>
        </w:rPr>
        <w:t xml:space="preserve">eport upon its release. </w:t>
      </w:r>
    </w:p>
    <w:p w:rsidR="006C79BD" w:rsidRPr="00956DCD" w:rsidRDefault="006C79BD" w:rsidP="00573D84">
      <w:pPr>
        <w:pStyle w:val="GreyHeading2StyleGroup1"/>
        <w:spacing w:line="240" w:lineRule="auto"/>
        <w:jc w:val="left"/>
        <w:rPr>
          <w:rFonts w:ascii="Arial Black" w:hAnsi="Arial Black"/>
        </w:rPr>
      </w:pPr>
      <w:r w:rsidRPr="00956DCD">
        <w:rPr>
          <w:rFonts w:ascii="Arial Black" w:hAnsi="Arial Black"/>
        </w:rPr>
        <w:t xml:space="preserve">Coolwater-Lugo </w:t>
      </w:r>
      <w:r w:rsidR="0013160A">
        <w:rPr>
          <w:rFonts w:ascii="Arial Black" w:hAnsi="Arial Black"/>
        </w:rPr>
        <w:t xml:space="preserve">Transmission </w:t>
      </w:r>
      <w:r w:rsidRPr="00956DCD">
        <w:rPr>
          <w:rFonts w:ascii="Arial Black" w:hAnsi="Arial Black"/>
        </w:rPr>
        <w:t>Project - Edison</w:t>
      </w:r>
    </w:p>
    <w:p w:rsidR="00C25259" w:rsidRDefault="006C79BD" w:rsidP="00776D65">
      <w:pPr>
        <w:pStyle w:val="NormalWeb"/>
        <w:spacing w:after="120" w:line="288" w:lineRule="auto"/>
        <w:ind w:firstLine="720"/>
        <w:jc w:val="both"/>
        <w:rPr>
          <w:rFonts w:ascii="Arial" w:hAnsi="Arial" w:cs="Arial"/>
          <w:sz w:val="20"/>
          <w:szCs w:val="20"/>
        </w:rPr>
      </w:pPr>
      <w:r w:rsidRPr="00956DCD">
        <w:rPr>
          <w:rFonts w:ascii="Arial" w:hAnsi="Arial" w:cs="Arial"/>
          <w:sz w:val="20"/>
          <w:szCs w:val="20"/>
        </w:rPr>
        <w:t>ORA reviewed Edison’s proposal to construct the $1 billion Coolwater-Lugo transmission project</w:t>
      </w:r>
      <w:r w:rsidR="00C25259">
        <w:rPr>
          <w:rFonts w:ascii="Arial" w:hAnsi="Arial" w:cs="Arial"/>
          <w:sz w:val="20"/>
          <w:szCs w:val="20"/>
        </w:rPr>
        <w:t xml:space="preserve"> (Coolwater-Lugo)</w:t>
      </w:r>
      <w:r w:rsidRPr="00956DCD">
        <w:rPr>
          <w:rFonts w:ascii="Arial" w:hAnsi="Arial" w:cs="Arial"/>
          <w:sz w:val="20"/>
          <w:szCs w:val="20"/>
        </w:rPr>
        <w:t>, which i</w:t>
      </w:r>
      <w:r w:rsidR="00D6200C">
        <w:rPr>
          <w:rFonts w:ascii="Arial" w:hAnsi="Arial" w:cs="Arial"/>
          <w:sz w:val="20"/>
          <w:szCs w:val="20"/>
        </w:rPr>
        <w:t>t asserts is necessary</w:t>
      </w:r>
      <w:r w:rsidRPr="00956DCD">
        <w:rPr>
          <w:rFonts w:ascii="Arial" w:hAnsi="Arial" w:cs="Arial"/>
          <w:sz w:val="20"/>
          <w:szCs w:val="20"/>
        </w:rPr>
        <w:t xml:space="preserve"> to provide additional transmission capacity for the purpose of alleviating a bottleneck in San Bernardino County. Edison explained that Coolwater-Lugo is necessary to facilitate interconnection of current and future renewable generation projects, including the Mojave Solar Project. </w:t>
      </w:r>
    </w:p>
    <w:p w:rsidR="009D3759" w:rsidRDefault="006C79BD" w:rsidP="002F6472">
      <w:pPr>
        <w:pStyle w:val="NormalWeb"/>
        <w:spacing w:after="120" w:line="288" w:lineRule="auto"/>
        <w:ind w:firstLine="720"/>
        <w:jc w:val="both"/>
        <w:rPr>
          <w:rFonts w:ascii="Arial" w:hAnsi="Arial" w:cs="Arial"/>
          <w:sz w:val="20"/>
          <w:szCs w:val="20"/>
        </w:rPr>
      </w:pPr>
      <w:r w:rsidRPr="00956DCD">
        <w:rPr>
          <w:rFonts w:ascii="Arial" w:hAnsi="Arial" w:cs="Arial"/>
          <w:sz w:val="20"/>
          <w:szCs w:val="20"/>
        </w:rPr>
        <w:t xml:space="preserve">ORA opposed the </w:t>
      </w:r>
      <w:r w:rsidR="00C72B6C">
        <w:rPr>
          <w:rFonts w:ascii="Arial" w:hAnsi="Arial" w:cs="Arial"/>
          <w:sz w:val="20"/>
          <w:szCs w:val="20"/>
        </w:rPr>
        <w:t xml:space="preserve">Coolwater-Lugo </w:t>
      </w:r>
      <w:r w:rsidRPr="00956DCD">
        <w:rPr>
          <w:rFonts w:ascii="Arial" w:hAnsi="Arial" w:cs="Arial"/>
          <w:sz w:val="20"/>
          <w:szCs w:val="20"/>
        </w:rPr>
        <w:t xml:space="preserve">project because the Independent System Operator (ISO) </w:t>
      </w:r>
      <w:r w:rsidRPr="001D7476">
        <w:rPr>
          <w:rFonts w:ascii="Arial" w:hAnsi="Arial" w:cs="Arial"/>
          <w:sz w:val="20"/>
          <w:szCs w:val="20"/>
        </w:rPr>
        <w:t>ha</w:t>
      </w:r>
      <w:r w:rsidR="001D7476">
        <w:rPr>
          <w:rFonts w:ascii="Arial" w:hAnsi="Arial" w:cs="Arial"/>
          <w:sz w:val="20"/>
          <w:szCs w:val="20"/>
        </w:rPr>
        <w:t>s</w:t>
      </w:r>
      <w:r w:rsidRPr="00956DCD">
        <w:rPr>
          <w:rFonts w:ascii="Arial" w:hAnsi="Arial" w:cs="Arial"/>
          <w:sz w:val="20"/>
          <w:szCs w:val="20"/>
        </w:rPr>
        <w:t xml:space="preserve"> not studied or approved required components of the project. Furthermore, Edison did not demonstrate that it had considered other available alternatives that are less expensive. </w:t>
      </w:r>
    </w:p>
    <w:p w:rsidR="00F26C58" w:rsidRPr="009D3759" w:rsidRDefault="006C79BD" w:rsidP="009D3759">
      <w:pPr>
        <w:pStyle w:val="NormalWeb"/>
        <w:spacing w:after="120" w:line="288" w:lineRule="auto"/>
        <w:ind w:firstLine="720"/>
        <w:jc w:val="both"/>
        <w:rPr>
          <w:rFonts w:ascii="Arial" w:eastAsiaTheme="minorHAnsi" w:hAnsi="Arial" w:cs="Arial"/>
          <w:sz w:val="20"/>
          <w:szCs w:val="20"/>
        </w:rPr>
      </w:pPr>
      <w:r w:rsidRPr="00956DCD">
        <w:rPr>
          <w:rFonts w:ascii="Arial" w:hAnsi="Arial" w:cs="Arial"/>
          <w:sz w:val="20"/>
          <w:szCs w:val="20"/>
        </w:rPr>
        <w:t xml:space="preserve">The retirement of the Coolwater Generating Station </w:t>
      </w:r>
      <w:r w:rsidRPr="00956DCD">
        <w:rPr>
          <w:rFonts w:ascii="Arial" w:hAnsi="Arial" w:cs="Arial"/>
          <w:color w:val="000000"/>
          <w:sz w:val="20"/>
          <w:szCs w:val="20"/>
        </w:rPr>
        <w:t xml:space="preserve">will free up transmission that can be used by </w:t>
      </w:r>
      <w:r w:rsidR="002F6472">
        <w:rPr>
          <w:rFonts w:ascii="Arial" w:hAnsi="Arial" w:cs="Arial"/>
          <w:color w:val="000000"/>
          <w:sz w:val="20"/>
          <w:szCs w:val="20"/>
        </w:rPr>
        <w:br/>
      </w:r>
      <w:r w:rsidR="002F6472">
        <w:rPr>
          <w:rFonts w:ascii="Arial" w:hAnsi="Arial" w:cs="Arial"/>
          <w:color w:val="000000"/>
          <w:sz w:val="20"/>
          <w:szCs w:val="20"/>
        </w:rPr>
        <w:lastRenderedPageBreak/>
        <w:br/>
      </w:r>
      <w:r w:rsidRPr="00956DCD">
        <w:rPr>
          <w:rFonts w:ascii="Arial" w:hAnsi="Arial" w:cs="Arial"/>
          <w:color w:val="000000"/>
          <w:sz w:val="20"/>
          <w:szCs w:val="20"/>
        </w:rPr>
        <w:t>the Mojave Solar Project. ORA asserted that such retirements should be considered by the ISO when it conducts transmission planning studies in order to</w:t>
      </w:r>
      <w:r w:rsidR="007A18A7">
        <w:rPr>
          <w:rFonts w:ascii="Arial" w:hAnsi="Arial" w:cs="Arial"/>
          <w:color w:val="000000"/>
          <w:sz w:val="20"/>
          <w:szCs w:val="20"/>
        </w:rPr>
        <w:t xml:space="preserve"> </w:t>
      </w:r>
      <w:r w:rsidRPr="00956DCD">
        <w:rPr>
          <w:rFonts w:ascii="Arial" w:hAnsi="Arial" w:cs="Arial"/>
          <w:color w:val="000000"/>
          <w:sz w:val="20"/>
          <w:szCs w:val="20"/>
        </w:rPr>
        <w:t xml:space="preserve">avoid transmission over-planning, which can lead to stranded ratepayer costs. In </w:t>
      </w:r>
      <w:r w:rsidRPr="00956DCD">
        <w:rPr>
          <w:rFonts w:ascii="Arial" w:hAnsi="Arial" w:cs="Arial"/>
          <w:bCs/>
          <w:sz w:val="20"/>
          <w:szCs w:val="20"/>
        </w:rPr>
        <w:t>May 2015, the CPUC dismissed Edison’s application to build the Coolwater-Lugo Project, which will save ratepayers approximately $1 billion.</w:t>
      </w:r>
    </w:p>
    <w:p w:rsidR="006C79BD" w:rsidRPr="00956DCD" w:rsidRDefault="006C79BD" w:rsidP="009D3759">
      <w:pPr>
        <w:shd w:val="clear" w:color="auto" w:fill="FFFFFF"/>
        <w:autoSpaceDE w:val="0"/>
        <w:autoSpaceDN w:val="0"/>
        <w:adjustRightInd w:val="0"/>
        <w:spacing w:after="120" w:line="288" w:lineRule="auto"/>
        <w:rPr>
          <w:rFonts w:ascii="Arial Black" w:eastAsiaTheme="minorHAnsi" w:hAnsi="Arial Black" w:cs="Arial"/>
          <w:sz w:val="20"/>
          <w:szCs w:val="20"/>
        </w:rPr>
      </w:pPr>
      <w:r w:rsidRPr="00956DCD">
        <w:rPr>
          <w:rFonts w:ascii="Arial Black" w:eastAsiaTheme="minorHAnsi" w:hAnsi="Arial Black" w:cs="Arial"/>
          <w:b/>
          <w:sz w:val="20"/>
          <w:szCs w:val="20"/>
        </w:rPr>
        <w:t>West of Devers Upgrade Project – Edison</w:t>
      </w:r>
    </w:p>
    <w:p w:rsidR="006C79BD" w:rsidRPr="00956DCD" w:rsidRDefault="006C79BD" w:rsidP="00776D65">
      <w:pPr>
        <w:shd w:val="clear" w:color="auto" w:fill="FFFFFF"/>
        <w:autoSpaceDE w:val="0"/>
        <w:autoSpaceDN w:val="0"/>
        <w:spacing w:line="288" w:lineRule="auto"/>
        <w:ind w:firstLine="720"/>
        <w:jc w:val="both"/>
        <w:rPr>
          <w:rFonts w:ascii="Arial" w:hAnsi="Arial" w:cs="Arial"/>
          <w:sz w:val="20"/>
          <w:szCs w:val="20"/>
        </w:rPr>
      </w:pPr>
      <w:r w:rsidRPr="00956DCD">
        <w:rPr>
          <w:rFonts w:ascii="Arial" w:hAnsi="Arial" w:cs="Arial"/>
          <w:sz w:val="20"/>
          <w:szCs w:val="20"/>
        </w:rPr>
        <w:t>ORA performed a detailed analysis on Edison’s 2013 request for CPUC approval of a Certificate of Public Convenience and Necessity (CPCN) to implement its West of Devers Upgrade Project. Edison asserts that the $950 mill</w:t>
      </w:r>
      <w:r w:rsidR="0013160A">
        <w:rPr>
          <w:rFonts w:ascii="Arial" w:hAnsi="Arial" w:cs="Arial"/>
          <w:sz w:val="20"/>
          <w:szCs w:val="20"/>
        </w:rPr>
        <w:t>ion u</w:t>
      </w:r>
      <w:r w:rsidRPr="00956DCD">
        <w:rPr>
          <w:rFonts w:ascii="Arial" w:hAnsi="Arial" w:cs="Arial"/>
          <w:sz w:val="20"/>
          <w:szCs w:val="20"/>
        </w:rPr>
        <w:t xml:space="preserve">pgrade is needed to enable </w:t>
      </w:r>
      <w:r w:rsidRPr="00B94A9D">
        <w:rPr>
          <w:rFonts w:ascii="Arial" w:hAnsi="Arial" w:cs="Arial"/>
          <w:sz w:val="20"/>
          <w:szCs w:val="20"/>
        </w:rPr>
        <w:t>full deliverability</w:t>
      </w:r>
      <w:r w:rsidRPr="00956DCD">
        <w:rPr>
          <w:rFonts w:ascii="Arial" w:hAnsi="Arial" w:cs="Arial"/>
          <w:sz w:val="20"/>
          <w:szCs w:val="20"/>
        </w:rPr>
        <w:t xml:space="preserve"> </w:t>
      </w:r>
      <w:r w:rsidR="00B94A9D" w:rsidRPr="00B94A9D">
        <w:rPr>
          <w:rFonts w:ascii="Arial" w:hAnsi="Arial" w:cs="Arial"/>
          <w:sz w:val="20"/>
          <w:szCs w:val="20"/>
        </w:rPr>
        <w:t xml:space="preserve">(i.e., ability to transmit </w:t>
      </w:r>
      <w:r w:rsidR="0049009E">
        <w:rPr>
          <w:rFonts w:ascii="Arial" w:hAnsi="Arial" w:cs="Arial"/>
          <w:sz w:val="20"/>
          <w:szCs w:val="20"/>
        </w:rPr>
        <w:t xml:space="preserve">the entire amount of </w:t>
      </w:r>
      <w:r w:rsidR="00B94A9D" w:rsidRPr="00B94A9D">
        <w:rPr>
          <w:rFonts w:ascii="Arial" w:hAnsi="Arial" w:cs="Arial"/>
          <w:sz w:val="20"/>
          <w:szCs w:val="20"/>
        </w:rPr>
        <w:t xml:space="preserve">power </w:t>
      </w:r>
      <w:r w:rsidR="0049009E">
        <w:rPr>
          <w:rFonts w:ascii="Arial" w:hAnsi="Arial" w:cs="Arial"/>
          <w:sz w:val="20"/>
          <w:szCs w:val="20"/>
        </w:rPr>
        <w:t xml:space="preserve">that is generated </w:t>
      </w:r>
      <w:r w:rsidR="00B94A9D" w:rsidRPr="00B94A9D">
        <w:rPr>
          <w:rFonts w:ascii="Arial" w:hAnsi="Arial" w:cs="Arial"/>
          <w:sz w:val="20"/>
          <w:szCs w:val="20"/>
        </w:rPr>
        <w:t>to the load</w:t>
      </w:r>
      <w:r w:rsidR="0049009E">
        <w:rPr>
          <w:rFonts w:ascii="Arial" w:hAnsi="Arial" w:cs="Arial"/>
          <w:sz w:val="20"/>
          <w:szCs w:val="20"/>
        </w:rPr>
        <w:t xml:space="preserve"> center</w:t>
      </w:r>
      <w:r w:rsidR="00B94A9D" w:rsidRPr="00B94A9D">
        <w:rPr>
          <w:rFonts w:ascii="Arial" w:hAnsi="Arial" w:cs="Arial"/>
          <w:sz w:val="20"/>
          <w:szCs w:val="20"/>
        </w:rPr>
        <w:t>)</w:t>
      </w:r>
      <w:r w:rsidR="00B94A9D" w:rsidRPr="00B94A9D">
        <w:rPr>
          <w:sz w:val="28"/>
          <w:szCs w:val="28"/>
        </w:rPr>
        <w:t xml:space="preserve"> </w:t>
      </w:r>
      <w:r w:rsidRPr="00956DCD">
        <w:rPr>
          <w:rFonts w:ascii="Arial" w:hAnsi="Arial" w:cs="Arial"/>
          <w:sz w:val="20"/>
          <w:szCs w:val="20"/>
        </w:rPr>
        <w:t xml:space="preserve">of </w:t>
      </w:r>
      <w:r w:rsidR="0013160A">
        <w:rPr>
          <w:rFonts w:ascii="Arial" w:hAnsi="Arial" w:cs="Arial"/>
          <w:sz w:val="20"/>
          <w:szCs w:val="20"/>
        </w:rPr>
        <w:t xml:space="preserve">new </w:t>
      </w:r>
      <w:r w:rsidRPr="00956DCD">
        <w:rPr>
          <w:rFonts w:ascii="Arial" w:hAnsi="Arial" w:cs="Arial"/>
          <w:sz w:val="20"/>
          <w:szCs w:val="20"/>
        </w:rPr>
        <w:t xml:space="preserve">electric generation resources being developed in </w:t>
      </w:r>
      <w:r w:rsidR="0013160A">
        <w:rPr>
          <w:rFonts w:ascii="Arial" w:hAnsi="Arial" w:cs="Arial"/>
          <w:sz w:val="20"/>
          <w:szCs w:val="20"/>
        </w:rPr>
        <w:t>Riverside County</w:t>
      </w:r>
      <w:r w:rsidRPr="00956DCD">
        <w:rPr>
          <w:rFonts w:ascii="Arial" w:hAnsi="Arial" w:cs="Arial"/>
          <w:sz w:val="20"/>
          <w:szCs w:val="20"/>
        </w:rPr>
        <w:t xml:space="preserve">. However, for 2016 and beyond, the ISO’s transmission planning will only focus on forecasted need, and </w:t>
      </w:r>
      <w:r w:rsidRPr="00EF65A6">
        <w:rPr>
          <w:rFonts w:ascii="Arial" w:hAnsi="Arial" w:cs="Arial"/>
          <w:i/>
          <w:sz w:val="20"/>
          <w:szCs w:val="20"/>
        </w:rPr>
        <w:t>not</w:t>
      </w:r>
      <w:r w:rsidRPr="00956DCD">
        <w:rPr>
          <w:rFonts w:ascii="Arial" w:hAnsi="Arial" w:cs="Arial"/>
          <w:sz w:val="20"/>
          <w:szCs w:val="20"/>
        </w:rPr>
        <w:t xml:space="preserve"> full deliverability </w:t>
      </w:r>
      <w:r w:rsidR="008D4A08">
        <w:rPr>
          <w:rFonts w:ascii="Arial" w:hAnsi="Arial" w:cs="Arial"/>
          <w:sz w:val="20"/>
          <w:szCs w:val="20"/>
        </w:rPr>
        <w:t xml:space="preserve">of the </w:t>
      </w:r>
      <w:r w:rsidR="0049009E">
        <w:rPr>
          <w:rFonts w:ascii="Arial" w:hAnsi="Arial" w:cs="Arial"/>
          <w:sz w:val="20"/>
          <w:szCs w:val="20"/>
        </w:rPr>
        <w:t>power</w:t>
      </w:r>
      <w:r w:rsidR="007F5425">
        <w:rPr>
          <w:rFonts w:ascii="Arial" w:hAnsi="Arial" w:cs="Arial"/>
          <w:sz w:val="20"/>
          <w:szCs w:val="20"/>
        </w:rPr>
        <w:t>,</w:t>
      </w:r>
      <w:r w:rsidR="0049009E">
        <w:rPr>
          <w:rFonts w:ascii="Arial" w:hAnsi="Arial" w:cs="Arial"/>
          <w:sz w:val="20"/>
          <w:szCs w:val="20"/>
        </w:rPr>
        <w:t xml:space="preserve"> </w:t>
      </w:r>
      <w:r w:rsidRPr="00956DCD">
        <w:rPr>
          <w:rFonts w:ascii="Arial" w:hAnsi="Arial" w:cs="Arial"/>
          <w:sz w:val="20"/>
          <w:szCs w:val="20"/>
        </w:rPr>
        <w:t>which would</w:t>
      </w:r>
      <w:r w:rsidR="00EF65A6">
        <w:rPr>
          <w:rFonts w:ascii="Arial" w:hAnsi="Arial" w:cs="Arial"/>
          <w:sz w:val="20"/>
          <w:szCs w:val="20"/>
        </w:rPr>
        <w:t xml:space="preserve"> include additional resources for</w:t>
      </w:r>
      <w:r w:rsidRPr="00956DCD">
        <w:rPr>
          <w:rFonts w:ascii="Arial" w:hAnsi="Arial" w:cs="Arial"/>
          <w:sz w:val="20"/>
          <w:szCs w:val="20"/>
        </w:rPr>
        <w:t xml:space="preserve"> Re</w:t>
      </w:r>
      <w:r w:rsidR="006F44FB">
        <w:rPr>
          <w:rFonts w:ascii="Arial" w:hAnsi="Arial" w:cs="Arial"/>
          <w:sz w:val="20"/>
          <w:szCs w:val="20"/>
        </w:rPr>
        <w:t>source Adequacy.  Thus, ORA’s analysi</w:t>
      </w:r>
      <w:r w:rsidRPr="00956DCD">
        <w:rPr>
          <w:rFonts w:ascii="Arial" w:hAnsi="Arial" w:cs="Arial"/>
          <w:sz w:val="20"/>
          <w:szCs w:val="20"/>
        </w:rPr>
        <w:t>s</w:t>
      </w:r>
      <w:r w:rsidR="006F44FB">
        <w:rPr>
          <w:rFonts w:ascii="Arial" w:hAnsi="Arial" w:cs="Arial"/>
          <w:sz w:val="20"/>
          <w:szCs w:val="20"/>
        </w:rPr>
        <w:t xml:space="preserve"> finds</w:t>
      </w:r>
      <w:r w:rsidRPr="00956DCD">
        <w:rPr>
          <w:rFonts w:ascii="Arial" w:hAnsi="Arial" w:cs="Arial"/>
          <w:sz w:val="20"/>
          <w:szCs w:val="20"/>
        </w:rPr>
        <w:t xml:space="preserve"> that the current </w:t>
      </w:r>
      <w:r w:rsidR="006F44FB">
        <w:rPr>
          <w:rFonts w:ascii="Arial" w:hAnsi="Arial" w:cs="Arial"/>
          <w:sz w:val="20"/>
          <w:szCs w:val="20"/>
        </w:rPr>
        <w:t xml:space="preserve">West of Devers </w:t>
      </w:r>
      <w:r w:rsidRPr="00956DCD">
        <w:rPr>
          <w:rFonts w:ascii="Arial" w:hAnsi="Arial" w:cs="Arial"/>
          <w:sz w:val="20"/>
          <w:szCs w:val="20"/>
        </w:rPr>
        <w:t xml:space="preserve">transmission lines have sufficient capacity to accommodate </w:t>
      </w:r>
      <w:r w:rsidR="006F44FB">
        <w:rPr>
          <w:rFonts w:ascii="Arial" w:hAnsi="Arial" w:cs="Arial"/>
          <w:sz w:val="20"/>
          <w:szCs w:val="20"/>
        </w:rPr>
        <w:t xml:space="preserve">electric </w:t>
      </w:r>
      <w:r w:rsidRPr="00956DCD">
        <w:rPr>
          <w:rFonts w:ascii="Arial" w:hAnsi="Arial" w:cs="Arial"/>
          <w:sz w:val="20"/>
          <w:szCs w:val="20"/>
        </w:rPr>
        <w:t>generation in the</w:t>
      </w:r>
      <w:r w:rsidR="006F44FB">
        <w:rPr>
          <w:rFonts w:ascii="Arial" w:hAnsi="Arial" w:cs="Arial"/>
          <w:sz w:val="20"/>
          <w:szCs w:val="20"/>
        </w:rPr>
        <w:t xml:space="preserve"> county</w:t>
      </w:r>
      <w:r w:rsidRPr="00956DCD">
        <w:rPr>
          <w:rFonts w:ascii="Arial" w:hAnsi="Arial" w:cs="Arial"/>
          <w:sz w:val="20"/>
          <w:szCs w:val="20"/>
        </w:rPr>
        <w:t xml:space="preserve">, and no </w:t>
      </w:r>
      <w:r w:rsidR="006F44FB">
        <w:rPr>
          <w:rFonts w:ascii="Arial" w:hAnsi="Arial" w:cs="Arial"/>
          <w:sz w:val="20"/>
          <w:szCs w:val="20"/>
        </w:rPr>
        <w:t>upgrade</w:t>
      </w:r>
      <w:r w:rsidRPr="00956DCD">
        <w:rPr>
          <w:rFonts w:ascii="Arial" w:hAnsi="Arial" w:cs="Arial"/>
          <w:sz w:val="20"/>
          <w:szCs w:val="20"/>
        </w:rPr>
        <w:t xml:space="preserve"> is needed at this time. A final CPUC decision is expected in 2016. </w:t>
      </w:r>
    </w:p>
    <w:p w:rsidR="006C79BD" w:rsidRPr="00956DCD" w:rsidRDefault="006C79BD" w:rsidP="00720D4F">
      <w:pPr>
        <w:autoSpaceDE w:val="0"/>
        <w:autoSpaceDN w:val="0"/>
        <w:adjustRightInd w:val="0"/>
        <w:spacing w:after="120" w:line="288" w:lineRule="auto"/>
        <w:jc w:val="both"/>
        <w:rPr>
          <w:rFonts w:ascii="Arial" w:hAnsi="Arial" w:cs="Arial"/>
          <w:sz w:val="20"/>
          <w:szCs w:val="20"/>
        </w:rPr>
      </w:pPr>
    </w:p>
    <w:p w:rsidR="006C79BD" w:rsidRPr="00F26C58" w:rsidRDefault="006C79BD" w:rsidP="00573D84">
      <w:pPr>
        <w:pStyle w:val="GreyHeading2StyleGroup1"/>
        <w:spacing w:line="240" w:lineRule="auto"/>
        <w:jc w:val="left"/>
        <w:rPr>
          <w:rFonts w:ascii="Arial Black" w:hAnsi="Arial Black"/>
          <w:color w:val="4F81BD" w:themeColor="accent1"/>
          <w:sz w:val="22"/>
        </w:rPr>
      </w:pPr>
      <w:r w:rsidRPr="00F26C58">
        <w:rPr>
          <w:rFonts w:ascii="Arial Black" w:hAnsi="Arial Black"/>
          <w:color w:val="4F81BD" w:themeColor="accent1"/>
          <w:sz w:val="22"/>
        </w:rPr>
        <w:t>Consumer Protection</w:t>
      </w:r>
    </w:p>
    <w:p w:rsidR="006C79BD" w:rsidRPr="00956DCD" w:rsidRDefault="006C79BD" w:rsidP="00573D84">
      <w:pPr>
        <w:pStyle w:val="GreyHeading2StyleGroup1"/>
        <w:spacing w:line="240" w:lineRule="auto"/>
        <w:jc w:val="left"/>
        <w:rPr>
          <w:rFonts w:ascii="Arial Black" w:hAnsi="Arial Black"/>
        </w:rPr>
      </w:pPr>
      <w:r w:rsidRPr="00956DCD">
        <w:rPr>
          <w:rFonts w:ascii="Arial Black" w:hAnsi="Arial Black"/>
        </w:rPr>
        <w:t xml:space="preserve">Energy Savings Assistance (ESA) Program </w:t>
      </w:r>
    </w:p>
    <w:p w:rsidR="006C79BD" w:rsidRPr="00956DCD" w:rsidRDefault="00F01BA3" w:rsidP="006C0754">
      <w:pPr>
        <w:spacing w:after="120" w:line="288" w:lineRule="auto"/>
        <w:ind w:firstLine="720"/>
        <w:jc w:val="both"/>
        <w:rPr>
          <w:rFonts w:ascii="Arial" w:hAnsi="Arial" w:cs="Arial"/>
          <w:color w:val="000000"/>
          <w:sz w:val="20"/>
          <w:szCs w:val="20"/>
        </w:rPr>
      </w:pPr>
      <w:r>
        <w:rPr>
          <w:rFonts w:ascii="Arial" w:hAnsi="Arial" w:cs="Arial"/>
          <w:color w:val="000000"/>
          <w:sz w:val="20"/>
          <w:szCs w:val="20"/>
        </w:rPr>
        <w:t xml:space="preserve">ORA </w:t>
      </w:r>
      <w:r w:rsidR="006C79BD" w:rsidRPr="00956DCD">
        <w:rPr>
          <w:rFonts w:ascii="Arial" w:hAnsi="Arial" w:cs="Arial"/>
          <w:color w:val="000000"/>
          <w:sz w:val="20"/>
          <w:szCs w:val="20"/>
        </w:rPr>
        <w:t xml:space="preserve">supports a robust Energy Savings Assistance (ESA) program to implement energy efficiency and conservation strategies for low-income households. ORA advocates for a program that will both save energy as well as provide for the health, comfort, and safety of California’s low-income residents. In 2015, ORA performed a detailed review of the energy utilities’ individual ESA program proposals that totaled more than $1 billion for program years 2015 – 2017. ORA recommended that the CPUC should require the utilities to use a cost-effectiveness test </w:t>
      </w:r>
      <w:r w:rsidR="007D3D8E">
        <w:rPr>
          <w:rFonts w:ascii="Arial" w:hAnsi="Arial" w:cs="Arial"/>
          <w:color w:val="000000"/>
          <w:sz w:val="20"/>
          <w:szCs w:val="20"/>
        </w:rPr>
        <w:t xml:space="preserve">that demonstrates that </w:t>
      </w:r>
      <w:r w:rsidR="006C79BD" w:rsidRPr="00956DCD">
        <w:rPr>
          <w:rFonts w:ascii="Arial" w:hAnsi="Arial" w:cs="Arial"/>
          <w:color w:val="000000"/>
          <w:sz w:val="20"/>
          <w:szCs w:val="20"/>
        </w:rPr>
        <w:t xml:space="preserve">costs are at least equal to benefits, in order to promote the most effective programs that optimize energy savings. Maximizing energy savings will also maximize greenhouse gas reductions and make a significant contribution to the state’s aggressive climate goals. The </w:t>
      </w:r>
      <w:r w:rsidR="007D3D8E" w:rsidRPr="00956DCD">
        <w:rPr>
          <w:rFonts w:ascii="Arial" w:hAnsi="Arial" w:cs="Arial"/>
          <w:color w:val="000000"/>
          <w:sz w:val="20"/>
          <w:szCs w:val="20"/>
        </w:rPr>
        <w:t xml:space="preserve">Energy Savings </w:t>
      </w:r>
      <w:r w:rsidR="002F6472">
        <w:rPr>
          <w:rFonts w:ascii="Arial" w:hAnsi="Arial" w:cs="Arial"/>
          <w:color w:val="000000"/>
          <w:sz w:val="20"/>
          <w:szCs w:val="20"/>
        </w:rPr>
        <w:br/>
      </w:r>
      <w:r w:rsidR="002F6472">
        <w:rPr>
          <w:rFonts w:ascii="Arial" w:hAnsi="Arial" w:cs="Arial"/>
          <w:color w:val="000000"/>
          <w:sz w:val="20"/>
          <w:szCs w:val="20"/>
        </w:rPr>
        <w:lastRenderedPageBreak/>
        <w:br/>
      </w:r>
      <w:r w:rsidR="007D3D8E" w:rsidRPr="00956DCD">
        <w:rPr>
          <w:rFonts w:ascii="Arial" w:hAnsi="Arial" w:cs="Arial"/>
          <w:color w:val="000000"/>
          <w:sz w:val="20"/>
          <w:szCs w:val="20"/>
        </w:rPr>
        <w:t>Assistance</w:t>
      </w:r>
      <w:r w:rsidR="006C79BD" w:rsidRPr="00956DCD">
        <w:rPr>
          <w:rFonts w:ascii="Arial" w:hAnsi="Arial" w:cs="Arial"/>
          <w:color w:val="000000"/>
          <w:sz w:val="20"/>
          <w:szCs w:val="20"/>
        </w:rPr>
        <w:t xml:space="preserve"> program should focus on targeted program design that prioritizes underserved customers, and reject utility proposals to revisit all households in a scattershot manner. The utilities should use customer energy usage reports in coordination with customer education.</w:t>
      </w:r>
    </w:p>
    <w:p w:rsidR="007C1629" w:rsidRDefault="006C79BD" w:rsidP="006B50FA">
      <w:pPr>
        <w:spacing w:after="120" w:line="288" w:lineRule="auto"/>
        <w:ind w:firstLine="720"/>
        <w:jc w:val="both"/>
        <w:rPr>
          <w:rFonts w:ascii="Arial" w:hAnsi="Arial" w:cs="Arial"/>
          <w:color w:val="000000"/>
          <w:sz w:val="20"/>
          <w:szCs w:val="20"/>
        </w:rPr>
      </w:pPr>
      <w:r w:rsidRPr="00956DCD">
        <w:rPr>
          <w:rFonts w:ascii="Arial" w:hAnsi="Arial" w:cs="Arial"/>
          <w:color w:val="000000"/>
          <w:sz w:val="20"/>
          <w:szCs w:val="20"/>
        </w:rPr>
        <w:t>ORA urged the CPUC to update its policies and program criteria to ensure that they do not hamper energy savings, and to review appropriate program measures regularly. Program evaluations should consider methods for improving energy savings, particularly from high users. To demonstrate program success, ORA recommends that the CPUC perform an audit at the end of each program year in the areas of financial, management, and regulatory compliance.</w:t>
      </w:r>
    </w:p>
    <w:p w:rsidR="006C79BD" w:rsidRPr="00956DCD" w:rsidRDefault="007D3D8E" w:rsidP="002F6472">
      <w:pPr>
        <w:spacing w:after="240" w:line="288" w:lineRule="auto"/>
        <w:ind w:firstLine="720"/>
        <w:jc w:val="both"/>
      </w:pPr>
      <w:r>
        <w:rPr>
          <w:rFonts w:ascii="Arial" w:hAnsi="Arial" w:cs="Arial"/>
          <w:color w:val="000000"/>
          <w:sz w:val="20"/>
          <w:szCs w:val="20"/>
        </w:rPr>
        <w:t>The utilities should employ e</w:t>
      </w:r>
      <w:r w:rsidR="006C79BD" w:rsidRPr="00956DCD">
        <w:rPr>
          <w:rFonts w:ascii="Arial" w:hAnsi="Arial" w:cs="Arial"/>
          <w:color w:val="000000"/>
          <w:sz w:val="20"/>
          <w:szCs w:val="20"/>
        </w:rPr>
        <w:t xml:space="preserve">ffective communication </w:t>
      </w:r>
      <w:r>
        <w:rPr>
          <w:rFonts w:ascii="Arial" w:hAnsi="Arial" w:cs="Arial"/>
          <w:color w:val="000000"/>
          <w:sz w:val="20"/>
          <w:szCs w:val="20"/>
        </w:rPr>
        <w:t xml:space="preserve">strategies </w:t>
      </w:r>
      <w:r w:rsidR="006C79BD" w:rsidRPr="00956DCD">
        <w:rPr>
          <w:rFonts w:ascii="Arial" w:hAnsi="Arial" w:cs="Arial"/>
          <w:color w:val="000000"/>
          <w:sz w:val="20"/>
          <w:szCs w:val="20"/>
        </w:rPr>
        <w:t>with low-income customers</w:t>
      </w:r>
      <w:r>
        <w:rPr>
          <w:rFonts w:ascii="Arial" w:hAnsi="Arial" w:cs="Arial"/>
          <w:color w:val="000000"/>
          <w:sz w:val="20"/>
          <w:szCs w:val="20"/>
        </w:rPr>
        <w:t xml:space="preserve">, which </w:t>
      </w:r>
      <w:r w:rsidR="006C79BD" w:rsidRPr="00956DCD">
        <w:rPr>
          <w:rFonts w:ascii="Arial" w:hAnsi="Arial" w:cs="Arial"/>
          <w:color w:val="000000"/>
          <w:sz w:val="20"/>
          <w:szCs w:val="20"/>
        </w:rPr>
        <w:t xml:space="preserve">is an essential component of </w:t>
      </w:r>
      <w:r>
        <w:rPr>
          <w:rFonts w:ascii="Arial" w:hAnsi="Arial" w:cs="Arial"/>
          <w:color w:val="000000"/>
          <w:sz w:val="20"/>
          <w:szCs w:val="20"/>
        </w:rPr>
        <w:t>a successful</w:t>
      </w:r>
      <w:r w:rsidR="006C79BD" w:rsidRPr="00956DCD">
        <w:rPr>
          <w:rFonts w:ascii="Arial" w:hAnsi="Arial" w:cs="Arial"/>
          <w:color w:val="000000"/>
          <w:sz w:val="20"/>
          <w:szCs w:val="20"/>
        </w:rPr>
        <w:t xml:space="preserve"> ESA program</w:t>
      </w:r>
      <w:r>
        <w:rPr>
          <w:rFonts w:ascii="Arial" w:hAnsi="Arial" w:cs="Arial"/>
          <w:color w:val="000000"/>
          <w:sz w:val="20"/>
          <w:szCs w:val="20"/>
        </w:rPr>
        <w:t>. Such outreach strategies</w:t>
      </w:r>
      <w:r w:rsidR="006C79BD" w:rsidRPr="00956DCD">
        <w:rPr>
          <w:rFonts w:ascii="Arial" w:hAnsi="Arial" w:cs="Arial"/>
          <w:color w:val="000000"/>
          <w:sz w:val="20"/>
          <w:szCs w:val="20"/>
        </w:rPr>
        <w:t xml:space="preserve"> i</w:t>
      </w:r>
      <w:r w:rsidR="00EB16E5">
        <w:rPr>
          <w:rFonts w:ascii="Arial" w:hAnsi="Arial" w:cs="Arial"/>
          <w:color w:val="000000"/>
          <w:sz w:val="20"/>
          <w:szCs w:val="20"/>
        </w:rPr>
        <w:t>nclud</w:t>
      </w:r>
      <w:r>
        <w:rPr>
          <w:rFonts w:ascii="Arial" w:hAnsi="Arial" w:cs="Arial"/>
          <w:color w:val="000000"/>
          <w:sz w:val="20"/>
          <w:szCs w:val="20"/>
        </w:rPr>
        <w:t>e</w:t>
      </w:r>
      <w:r w:rsidR="00EB16E5">
        <w:rPr>
          <w:rFonts w:ascii="Arial" w:hAnsi="Arial" w:cs="Arial"/>
          <w:color w:val="000000"/>
          <w:sz w:val="20"/>
          <w:szCs w:val="20"/>
        </w:rPr>
        <w:t xml:space="preserve"> clearly explaining to</w:t>
      </w:r>
      <w:r w:rsidR="006C79BD" w:rsidRPr="00956DCD">
        <w:rPr>
          <w:rFonts w:ascii="Arial" w:hAnsi="Arial" w:cs="Arial"/>
          <w:color w:val="000000"/>
          <w:sz w:val="20"/>
          <w:szCs w:val="20"/>
        </w:rPr>
        <w:t xml:space="preserve"> customers </w:t>
      </w:r>
      <w:r w:rsidR="00EB16E5">
        <w:rPr>
          <w:rFonts w:ascii="Arial" w:hAnsi="Arial" w:cs="Arial"/>
          <w:color w:val="000000"/>
          <w:sz w:val="20"/>
          <w:szCs w:val="20"/>
        </w:rPr>
        <w:t>that they may prove</w:t>
      </w:r>
      <w:r w:rsidR="006C79BD" w:rsidRPr="00956DCD">
        <w:rPr>
          <w:rFonts w:ascii="Arial" w:hAnsi="Arial" w:cs="Arial"/>
          <w:color w:val="000000"/>
          <w:sz w:val="20"/>
          <w:szCs w:val="20"/>
        </w:rPr>
        <w:t xml:space="preserve"> program eligibility by demonstrating eligibility in other public assistance programs. The CPUC should require the utilities to demonstrate their outreach effectiveness every six months in a public forum. A CPUC proposed decision is pending.</w:t>
      </w:r>
    </w:p>
    <w:p w:rsidR="006C79BD" w:rsidRPr="00956DCD" w:rsidRDefault="006C79BD" w:rsidP="007D3D8E">
      <w:pPr>
        <w:pStyle w:val="GreyHeading2StyleGroup1"/>
        <w:spacing w:line="240" w:lineRule="auto"/>
        <w:jc w:val="left"/>
        <w:rPr>
          <w:rFonts w:ascii="Arial Black" w:hAnsi="Arial Black"/>
        </w:rPr>
      </w:pPr>
      <w:r w:rsidRPr="00956DCD">
        <w:rPr>
          <w:rFonts w:ascii="Arial Black" w:hAnsi="Arial Black"/>
        </w:rPr>
        <w:t>California Alternative Rate for Energy (CARE)</w:t>
      </w:r>
    </w:p>
    <w:p w:rsidR="002F6472" w:rsidRDefault="006C79BD" w:rsidP="002F6472">
      <w:pPr>
        <w:spacing w:after="120" w:line="288" w:lineRule="auto"/>
        <w:ind w:firstLine="720"/>
        <w:jc w:val="both"/>
        <w:rPr>
          <w:rFonts w:ascii="Arial" w:hAnsi="Arial" w:cs="Arial"/>
          <w:sz w:val="20"/>
          <w:szCs w:val="20"/>
        </w:rPr>
      </w:pPr>
      <w:r w:rsidRPr="00956DCD">
        <w:rPr>
          <w:rFonts w:ascii="Arial" w:hAnsi="Arial" w:cs="Arial"/>
          <w:sz w:val="20"/>
          <w:szCs w:val="20"/>
        </w:rPr>
        <w:t>ORA supports the CARE discount program as an important tool to promote affordable electricity for basic usage. ORA reviewed the utilities</w:t>
      </w:r>
      <w:r w:rsidRPr="00956DCD">
        <w:rPr>
          <w:rFonts w:ascii="Arial" w:hAnsi="Arial" w:cs="Arial"/>
          <w:b/>
          <w:sz w:val="20"/>
          <w:szCs w:val="20"/>
        </w:rPr>
        <w:t>’</w:t>
      </w:r>
      <w:r w:rsidRPr="00956DCD">
        <w:rPr>
          <w:rFonts w:ascii="Arial" w:hAnsi="Arial" w:cs="Arial"/>
          <w:sz w:val="20"/>
          <w:szCs w:val="20"/>
        </w:rPr>
        <w:t xml:space="preserve"> $30 million annual budget proposals to administer the CARE program from 2016 - 2018 and recommended that</w:t>
      </w:r>
      <w:r w:rsidRPr="00956DCD">
        <w:rPr>
          <w:rFonts w:ascii="Arial" w:hAnsi="Arial" w:cs="Arial"/>
          <w:b/>
          <w:sz w:val="20"/>
          <w:szCs w:val="20"/>
        </w:rPr>
        <w:t xml:space="preserve"> </w:t>
      </w:r>
      <w:r w:rsidRPr="00956DCD">
        <w:rPr>
          <w:rFonts w:ascii="Arial" w:hAnsi="Arial" w:cs="Arial"/>
          <w:sz w:val="20"/>
          <w:szCs w:val="20"/>
        </w:rPr>
        <w:t>the</w:t>
      </w:r>
      <w:r w:rsidRPr="00956DCD">
        <w:rPr>
          <w:rFonts w:ascii="Arial" w:hAnsi="Arial" w:cs="Arial"/>
          <w:b/>
          <w:sz w:val="20"/>
          <w:szCs w:val="20"/>
        </w:rPr>
        <w:t xml:space="preserve"> </w:t>
      </w:r>
      <w:r w:rsidRPr="00956DCD">
        <w:rPr>
          <w:rFonts w:ascii="Arial" w:hAnsi="Arial" w:cs="Arial"/>
          <w:sz w:val="20"/>
          <w:szCs w:val="20"/>
        </w:rPr>
        <w:t>utilities should use uniform and transparent reporting practices in order for all stakeholders to clearly understand the basis for utility costs. To enhance reasonableness, utility administrative costs should be reduced by establishing best practices for program delivery, including sharing appropriate costs among utilities</w:t>
      </w:r>
      <w:r w:rsidR="00EB16E5">
        <w:rPr>
          <w:rFonts w:ascii="Arial" w:hAnsi="Arial" w:cs="Arial"/>
          <w:sz w:val="20"/>
          <w:szCs w:val="20"/>
        </w:rPr>
        <w:t xml:space="preserve"> statewide</w:t>
      </w:r>
      <w:r w:rsidRPr="00956DCD">
        <w:rPr>
          <w:rFonts w:ascii="Arial" w:hAnsi="Arial" w:cs="Arial"/>
          <w:sz w:val="20"/>
          <w:szCs w:val="20"/>
        </w:rPr>
        <w:t>. ORA recommended that the CPUC should use past expenditures and program outcomes as benchmarks to determine CARE administrative budgets, rather than base funding on prior authorized budgets</w:t>
      </w:r>
      <w:r w:rsidR="007D3D8E">
        <w:rPr>
          <w:rFonts w:ascii="Arial" w:hAnsi="Arial" w:cs="Arial"/>
          <w:sz w:val="20"/>
          <w:szCs w:val="20"/>
        </w:rPr>
        <w:t>,</w:t>
      </w:r>
      <w:r w:rsidRPr="00956DCD">
        <w:rPr>
          <w:rFonts w:ascii="Arial" w:hAnsi="Arial" w:cs="Arial"/>
          <w:sz w:val="20"/>
          <w:szCs w:val="20"/>
        </w:rPr>
        <w:t xml:space="preserve"> which may have been inappropriate. Accordingly, utility administrative budgets should be frozen until the CPUC conducts its reasonableness review of all expenditures.</w:t>
      </w:r>
    </w:p>
    <w:p w:rsidR="002F6472" w:rsidRDefault="002F6472" w:rsidP="002F6472">
      <w:pPr>
        <w:spacing w:line="288" w:lineRule="auto"/>
        <w:ind w:firstLine="720"/>
        <w:jc w:val="both"/>
        <w:rPr>
          <w:rFonts w:ascii="Arial" w:hAnsi="Arial" w:cs="Arial"/>
          <w:sz w:val="20"/>
          <w:szCs w:val="20"/>
        </w:rPr>
      </w:pPr>
    </w:p>
    <w:p w:rsidR="0041727C" w:rsidRDefault="006C79BD" w:rsidP="002F6472">
      <w:pPr>
        <w:spacing w:after="120" w:line="288" w:lineRule="auto"/>
        <w:ind w:firstLine="720"/>
        <w:jc w:val="both"/>
        <w:rPr>
          <w:rFonts w:ascii="Arial" w:hAnsi="Arial" w:cs="Arial"/>
          <w:sz w:val="20"/>
          <w:szCs w:val="20"/>
        </w:rPr>
      </w:pPr>
      <w:r w:rsidRPr="00956DCD">
        <w:rPr>
          <w:rFonts w:ascii="Arial" w:hAnsi="Arial" w:cs="Arial"/>
          <w:sz w:val="20"/>
          <w:szCs w:val="20"/>
        </w:rPr>
        <w:t xml:space="preserve">Additionally, ORA supports utility best practices in setting goals and strategies to keep disconnections for California’s vulnerable customers to a minimum. </w:t>
      </w:r>
      <w:r w:rsidRPr="00956DCD">
        <w:rPr>
          <w:rFonts w:ascii="Arial" w:hAnsi="Arial" w:cs="Arial"/>
          <w:color w:val="000000"/>
          <w:sz w:val="20"/>
          <w:szCs w:val="20"/>
        </w:rPr>
        <w:t xml:space="preserve">In order to promote fairness in verifying qualifying income level for CARE participants, ORA recommends that verification procedures be updated for high energy use customers within a 12-month period in order to balance extreme weather conditions. </w:t>
      </w:r>
      <w:r w:rsidRPr="00956DCD">
        <w:rPr>
          <w:rFonts w:ascii="Arial" w:hAnsi="Arial" w:cs="Arial"/>
          <w:sz w:val="20"/>
          <w:szCs w:val="20"/>
        </w:rPr>
        <w:t>High usage customers should be targeted with the Energy Savings Assistance</w:t>
      </w:r>
      <w:r w:rsidR="001538C9">
        <w:rPr>
          <w:rFonts w:ascii="Arial" w:hAnsi="Arial" w:cs="Arial"/>
          <w:sz w:val="20"/>
          <w:szCs w:val="20"/>
        </w:rPr>
        <w:t xml:space="preserve"> (ESA)</w:t>
      </w:r>
      <w:r w:rsidRPr="00956DCD">
        <w:rPr>
          <w:rFonts w:ascii="Arial" w:hAnsi="Arial" w:cs="Arial"/>
          <w:sz w:val="20"/>
          <w:szCs w:val="20"/>
        </w:rPr>
        <w:t xml:space="preserve"> program to help reduce their energy usage. A CPUC CARE proposed decision is pending</w:t>
      </w:r>
      <w:r w:rsidR="00C72B6C">
        <w:rPr>
          <w:rFonts w:ascii="Arial" w:hAnsi="Arial" w:cs="Arial"/>
          <w:sz w:val="20"/>
          <w:szCs w:val="20"/>
        </w:rPr>
        <w:t>,</w:t>
      </w:r>
      <w:r w:rsidRPr="00956DCD">
        <w:rPr>
          <w:rFonts w:ascii="Arial" w:hAnsi="Arial" w:cs="Arial"/>
          <w:sz w:val="20"/>
          <w:szCs w:val="20"/>
        </w:rPr>
        <w:t xml:space="preserve"> in conjunction with the ESA program decisio</w:t>
      </w:r>
      <w:r w:rsidR="000C45B8">
        <w:rPr>
          <w:rFonts w:ascii="Arial" w:hAnsi="Arial" w:cs="Arial"/>
          <w:sz w:val="20"/>
          <w:szCs w:val="20"/>
        </w:rPr>
        <w:t>n</w:t>
      </w:r>
      <w:r w:rsidR="003D4D3D">
        <w:rPr>
          <w:rFonts w:ascii="Arial" w:hAnsi="Arial" w:cs="Arial"/>
          <w:sz w:val="20"/>
          <w:szCs w:val="20"/>
        </w:rPr>
        <w:t>.</w:t>
      </w:r>
    </w:p>
    <w:p w:rsidR="0039557A" w:rsidRDefault="0039557A" w:rsidP="005511B8">
      <w:pPr>
        <w:autoSpaceDE w:val="0"/>
        <w:autoSpaceDN w:val="0"/>
        <w:adjustRightInd w:val="0"/>
        <w:spacing w:after="120" w:line="288" w:lineRule="auto"/>
        <w:rPr>
          <w:rFonts w:ascii="Arial Black" w:hAnsi="Arial Black"/>
          <w:color w:val="4F81BD" w:themeColor="accent1"/>
          <w:sz w:val="20"/>
          <w:szCs w:val="22"/>
        </w:rPr>
      </w:pPr>
    </w:p>
    <w:p w:rsidR="002F6472" w:rsidRPr="00C72B6C" w:rsidRDefault="002F6472" w:rsidP="005511B8">
      <w:pPr>
        <w:autoSpaceDE w:val="0"/>
        <w:autoSpaceDN w:val="0"/>
        <w:adjustRightInd w:val="0"/>
        <w:spacing w:after="120" w:line="288" w:lineRule="auto"/>
        <w:rPr>
          <w:rFonts w:ascii="Arial Black" w:hAnsi="Arial Black"/>
          <w:color w:val="4F81BD" w:themeColor="accent1"/>
          <w:sz w:val="20"/>
          <w:szCs w:val="22"/>
        </w:rPr>
      </w:pPr>
    </w:p>
    <w:p w:rsidR="007D6F5B" w:rsidRDefault="00573D84" w:rsidP="005511B8">
      <w:pPr>
        <w:autoSpaceDE w:val="0"/>
        <w:autoSpaceDN w:val="0"/>
        <w:adjustRightInd w:val="0"/>
        <w:spacing w:after="120" w:line="288" w:lineRule="auto"/>
        <w:rPr>
          <w:rFonts w:ascii="Arial Black" w:hAnsi="Arial Black"/>
          <w:color w:val="4F81BD" w:themeColor="accent1"/>
          <w:szCs w:val="22"/>
        </w:rPr>
      </w:pPr>
      <w:r w:rsidRPr="00956DCD">
        <w:rPr>
          <w:rFonts w:ascii="Arial" w:hAnsi="Arial" w:cs="Arial"/>
          <w:noProof/>
          <w:sz w:val="20"/>
          <w:szCs w:val="20"/>
        </w:rPr>
        <mc:AlternateContent>
          <mc:Choice Requires="wps">
            <w:drawing>
              <wp:anchor distT="0" distB="0" distL="114300" distR="114300" simplePos="0" relativeHeight="251640319" behindDoc="0" locked="0" layoutInCell="1" allowOverlap="1" wp14:anchorId="2688FAF9" wp14:editId="7010DFF8">
                <wp:simplePos x="0" y="0"/>
                <wp:positionH relativeFrom="column">
                  <wp:posOffset>1268095</wp:posOffset>
                </wp:positionH>
                <wp:positionV relativeFrom="paragraph">
                  <wp:posOffset>83489</wp:posOffset>
                </wp:positionV>
                <wp:extent cx="1514475" cy="1466850"/>
                <wp:effectExtent l="0" t="0" r="0" b="0"/>
                <wp:wrapNone/>
                <wp:docPr id="5155" name="Text Box 5155"/>
                <wp:cNvGraphicFramePr/>
                <a:graphic xmlns:a="http://schemas.openxmlformats.org/drawingml/2006/main">
                  <a:graphicData uri="http://schemas.microsoft.com/office/word/2010/wordprocessingShape">
                    <wps:wsp>
                      <wps:cNvSpPr txBox="1"/>
                      <wps:spPr>
                        <a:xfrm>
                          <a:off x="0" y="0"/>
                          <a:ext cx="1514475" cy="146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80" w:rsidRDefault="00CE6E80">
                            <w:r>
                              <w:rPr>
                                <w:noProof/>
                              </w:rPr>
                              <w:drawing>
                                <wp:inline distT="0" distB="0" distL="0" distR="0" wp14:anchorId="1776AD89" wp14:editId="3EEC26FA">
                                  <wp:extent cx="1113721" cy="116089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waterDrop.png"/>
                                          <pic:cNvPicPr/>
                                        </pic:nvPicPr>
                                        <pic:blipFill>
                                          <a:blip r:embed="rId31">
                                            <a:extLst>
                                              <a:ext uri="{28A0092B-C50C-407E-A947-70E740481C1C}">
                                                <a14:useLocalDpi xmlns:a14="http://schemas.microsoft.com/office/drawing/2010/main" val="0"/>
                                              </a:ext>
                                            </a:extLst>
                                          </a:blip>
                                          <a:stretch>
                                            <a:fillRect/>
                                          </a:stretch>
                                        </pic:blipFill>
                                        <pic:spPr>
                                          <a:xfrm>
                                            <a:off x="0" y="0"/>
                                            <a:ext cx="1116480" cy="11637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55" o:spid="_x0000_s1052" type="#_x0000_t202" style="position:absolute;margin-left:99.85pt;margin-top:6.55pt;width:119.25pt;height:115.5pt;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" filled="f" stroked="f" strokeweight=".5pt">
                <v:textbox>
                  <w:txbxContent>
                    <w:p w:rsidR="00CE6E80" w:rsidRDefault="00CE6E80">
                      <w:r>
                        <w:rPr>
                          <w:noProof/>
                        </w:rPr>
                        <w:drawing>
                          <wp:inline distT="0" distB="0" distL="0" distR="0" wp14:anchorId="1776AD89" wp14:editId="3EEC26FA">
                            <wp:extent cx="1113721" cy="116089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waterDrop.png"/>
                                    <pic:cNvPicPr/>
                                  </pic:nvPicPr>
                                  <pic:blipFill>
                                    <a:blip r:embed="rId31">
                                      <a:extLst>
                                        <a:ext uri="{28A0092B-C50C-407E-A947-70E740481C1C}">
                                          <a14:useLocalDpi xmlns:a14="http://schemas.microsoft.com/office/drawing/2010/main" val="0"/>
                                        </a:ext>
                                      </a:extLst>
                                    </a:blip>
                                    <a:stretch>
                                      <a:fillRect/>
                                    </a:stretch>
                                  </pic:blipFill>
                                  <pic:spPr>
                                    <a:xfrm>
                                      <a:off x="0" y="0"/>
                                      <a:ext cx="1116480" cy="1163766"/>
                                    </a:xfrm>
                                    <a:prstGeom prst="rect">
                                      <a:avLst/>
                                    </a:prstGeom>
                                  </pic:spPr>
                                </pic:pic>
                              </a:graphicData>
                            </a:graphic>
                          </wp:inline>
                        </w:drawing>
                      </w:r>
                    </w:p>
                  </w:txbxContent>
                </v:textbox>
              </v:shape>
            </w:pict>
          </mc:Fallback>
        </mc:AlternateContent>
      </w:r>
    </w:p>
    <w:p w:rsidR="007C1629" w:rsidRDefault="007C1629" w:rsidP="005511B8">
      <w:pPr>
        <w:autoSpaceDE w:val="0"/>
        <w:autoSpaceDN w:val="0"/>
        <w:adjustRightInd w:val="0"/>
        <w:spacing w:after="120" w:line="288" w:lineRule="auto"/>
        <w:rPr>
          <w:rFonts w:ascii="Arial Black" w:hAnsi="Arial Black"/>
          <w:color w:val="4F81BD" w:themeColor="accent1"/>
          <w:szCs w:val="22"/>
        </w:rPr>
      </w:pPr>
    </w:p>
    <w:p w:rsidR="007C1629" w:rsidRDefault="007C1629" w:rsidP="005511B8">
      <w:pPr>
        <w:autoSpaceDE w:val="0"/>
        <w:autoSpaceDN w:val="0"/>
        <w:adjustRightInd w:val="0"/>
        <w:spacing w:after="120" w:line="288" w:lineRule="auto"/>
        <w:rPr>
          <w:rFonts w:ascii="Arial Black" w:hAnsi="Arial Black"/>
          <w:color w:val="4F81BD" w:themeColor="accent1"/>
          <w:szCs w:val="22"/>
        </w:rPr>
      </w:pPr>
    </w:p>
    <w:p w:rsidR="005511B8" w:rsidRPr="00C72B6C" w:rsidRDefault="005511B8" w:rsidP="005511B8">
      <w:pPr>
        <w:autoSpaceDE w:val="0"/>
        <w:autoSpaceDN w:val="0"/>
        <w:adjustRightInd w:val="0"/>
        <w:spacing w:after="120" w:line="288" w:lineRule="auto"/>
        <w:rPr>
          <w:rFonts w:ascii="Arial Black" w:hAnsi="Arial Black"/>
          <w:color w:val="1F497D" w:themeColor="text2"/>
          <w:szCs w:val="22"/>
        </w:rPr>
      </w:pPr>
      <w:r w:rsidRPr="00C72B6C">
        <w:rPr>
          <w:rFonts w:ascii="Arial Black" w:hAnsi="Arial Black"/>
          <w:color w:val="1F497D" w:themeColor="text2"/>
          <w:szCs w:val="22"/>
        </w:rPr>
        <w:t>WATER</w:t>
      </w:r>
    </w:p>
    <w:p w:rsidR="00BF5328" w:rsidRDefault="0039557A" w:rsidP="00C72B6C">
      <w:pPr>
        <w:pStyle w:val="BodyTextNoIndent"/>
        <w:spacing w:after="0" w:line="288" w:lineRule="auto"/>
        <w:ind w:firstLine="720"/>
      </w:pPr>
      <w:r w:rsidRPr="002C533A">
        <w:t>ORA advocates for affordable, safe, high-quality, and reliable water service, as well as for robust low-income water programs. ORA supports cost-effective conservation programs and long-term water supply solutions. In fulfilling this mission, ORA represents over 6 million customers of California investor owned water utilities with more than 10,000 service connections</w:t>
      </w:r>
      <w:r w:rsidR="002D2BCC">
        <w:t>,</w:t>
      </w:r>
      <w:r w:rsidRPr="002C533A">
        <w:t xml:space="preserve"> approximately 20 percent of all of California’s urban water usage customers. </w:t>
      </w:r>
    </w:p>
    <w:p w:rsidR="00573D84" w:rsidRDefault="00573D84" w:rsidP="007D6F5B">
      <w:pPr>
        <w:pStyle w:val="BodyTextNoIndent"/>
        <w:spacing w:line="288" w:lineRule="auto"/>
        <w:ind w:firstLine="720"/>
        <w:rPr>
          <w:color w:val="auto"/>
        </w:rPr>
      </w:pPr>
    </w:p>
    <w:p w:rsidR="0039557A" w:rsidRPr="009F1BD9" w:rsidRDefault="0039557A" w:rsidP="0039557A">
      <w:pPr>
        <w:pStyle w:val="BodyTextNoIndent"/>
        <w:spacing w:line="288" w:lineRule="auto"/>
        <w:rPr>
          <w:rFonts w:ascii="Arial Black" w:hAnsi="Arial Black"/>
          <w:color w:val="4F81BD" w:themeColor="accent1"/>
          <w:sz w:val="24"/>
        </w:rPr>
      </w:pPr>
      <w:r w:rsidRPr="009F1BD9">
        <w:rPr>
          <w:rFonts w:ascii="Arial Black" w:hAnsi="Arial Black"/>
          <w:color w:val="4F81BD" w:themeColor="accent1"/>
          <w:sz w:val="24"/>
        </w:rPr>
        <w:t>Water Rate Cases</w:t>
      </w:r>
    </w:p>
    <w:p w:rsidR="00892AE6" w:rsidRPr="002C533A" w:rsidRDefault="00892AE6" w:rsidP="00892AE6">
      <w:pPr>
        <w:pStyle w:val="BodyTextwithIndent"/>
        <w:spacing w:line="288" w:lineRule="auto"/>
        <w:ind w:firstLine="720"/>
      </w:pPr>
      <w:r w:rsidRPr="002C533A">
        <w:t>In 2015, ORA examined approximately $</w:t>
      </w:r>
      <w:r>
        <w:t xml:space="preserve">40 </w:t>
      </w:r>
      <w:r w:rsidRPr="002C533A">
        <w:t>million in water utility requests to increase revenues across f</w:t>
      </w:r>
      <w:r>
        <w:t>our</w:t>
      </w:r>
      <w:r w:rsidRPr="002C533A">
        <w:t xml:space="preserve"> general rate cases. If the CPUC adopts ORA’s re</w:t>
      </w:r>
      <w:r>
        <w:t xml:space="preserve">commendations for all four </w:t>
      </w:r>
      <w:r w:rsidRPr="002C533A">
        <w:t>rate cases, wat</w:t>
      </w:r>
      <w:r>
        <w:t xml:space="preserve">er ratepayers would save over </w:t>
      </w:r>
      <w:r w:rsidRPr="002C533A">
        <w:t>$</w:t>
      </w:r>
      <w:r>
        <w:t xml:space="preserve">9 </w:t>
      </w:r>
      <w:r w:rsidRPr="002C533A">
        <w:t>million – or approximately $</w:t>
      </w:r>
      <w:r>
        <w:t>1.50</w:t>
      </w:r>
      <w:r w:rsidRPr="002C533A">
        <w:t xml:space="preserve"> per customer per month on </w:t>
      </w:r>
      <w:r>
        <w:t xml:space="preserve">their </w:t>
      </w:r>
      <w:r w:rsidRPr="002C533A">
        <w:t xml:space="preserve">water bills. Three of the rate cases are pending before the CPUC, </w:t>
      </w:r>
      <w:r w:rsidR="00C72B6C">
        <w:t>and include</w:t>
      </w:r>
      <w:r w:rsidRPr="002C533A">
        <w:t xml:space="preserve"> partial settlements that ORA negotiated with water utilities. </w:t>
      </w:r>
      <w:r>
        <w:t xml:space="preserve">Unlike the energy general rate cases, the savings above are only for the first year when new rates are established. The implementation of increases for the subsequent two </w:t>
      </w:r>
      <w:r w:rsidR="002F6472">
        <w:br/>
      </w:r>
      <w:r w:rsidR="002F6472">
        <w:lastRenderedPageBreak/>
        <w:br/>
      </w:r>
      <w:r>
        <w:t>years</w:t>
      </w:r>
      <w:r w:rsidR="00C72B6C">
        <w:t xml:space="preserve"> will reflect changes in inflation, which </w:t>
      </w:r>
      <w:r>
        <w:t xml:space="preserve">are determined at the time the water </w:t>
      </w:r>
      <w:r w:rsidR="007D3D8E">
        <w:t>utility files its advice letter requests with the CPUC</w:t>
      </w:r>
      <w:r>
        <w:t xml:space="preserve">. </w:t>
      </w:r>
    </w:p>
    <w:p w:rsidR="00892AE6" w:rsidRDefault="00892AE6" w:rsidP="00892AE6">
      <w:pPr>
        <w:pStyle w:val="BodyTextNoIndent"/>
        <w:spacing w:line="288" w:lineRule="auto"/>
        <w:ind w:firstLine="720"/>
        <w:rPr>
          <w:color w:val="auto"/>
        </w:rPr>
      </w:pPr>
      <w:r>
        <w:rPr>
          <w:color w:val="auto"/>
        </w:rPr>
        <w:t xml:space="preserve">ORA is also currently examining two additional rate cases that have not yet been submitted for a </w:t>
      </w:r>
      <w:r w:rsidR="008E2538">
        <w:rPr>
          <w:color w:val="auto"/>
        </w:rPr>
        <w:t xml:space="preserve">CPUC </w:t>
      </w:r>
      <w:r>
        <w:rPr>
          <w:color w:val="auto"/>
        </w:rPr>
        <w:t xml:space="preserve">decision, representing a total combined revenue increase of $143.6 million. </w:t>
      </w:r>
    </w:p>
    <w:p w:rsidR="00F632C9" w:rsidRDefault="008E2538" w:rsidP="002F6472">
      <w:pPr>
        <w:pStyle w:val="BodyTextNoIndent"/>
        <w:spacing w:after="360" w:line="288" w:lineRule="auto"/>
        <w:ind w:firstLine="720"/>
        <w:rPr>
          <w:color w:val="auto"/>
        </w:rPr>
      </w:pPr>
      <w:r>
        <w:rPr>
          <w:color w:val="auto"/>
        </w:rPr>
        <w:t>O</w:t>
      </w:r>
      <w:r w:rsidR="00892AE6" w:rsidRPr="002C533A">
        <w:rPr>
          <w:color w:val="auto"/>
        </w:rPr>
        <w:t>f particular importance</w:t>
      </w:r>
      <w:r>
        <w:rPr>
          <w:color w:val="auto"/>
        </w:rPr>
        <w:t xml:space="preserve"> this year</w:t>
      </w:r>
      <w:r w:rsidR="00892AE6" w:rsidRPr="002C533A">
        <w:rPr>
          <w:color w:val="auto"/>
        </w:rPr>
        <w:t xml:space="preserve">, ORA reviewed water utility </w:t>
      </w:r>
      <w:r w:rsidR="00892AE6" w:rsidRPr="002C533A">
        <w:rPr>
          <w:rStyle w:val="A1"/>
        </w:rPr>
        <w:t xml:space="preserve">costs and operations, financial records, and other documents to ensure they are </w:t>
      </w:r>
      <w:r w:rsidR="00892AE6">
        <w:rPr>
          <w:rStyle w:val="A1"/>
        </w:rPr>
        <w:t xml:space="preserve">reasonable and </w:t>
      </w:r>
      <w:r w:rsidR="00892AE6" w:rsidRPr="002C533A">
        <w:rPr>
          <w:color w:val="auto"/>
        </w:rPr>
        <w:t xml:space="preserve">consistent with the </w:t>
      </w:r>
      <w:r w:rsidR="00892AE6" w:rsidRPr="002C533A">
        <w:rPr>
          <w:bCs/>
          <w:color w:val="auto"/>
        </w:rPr>
        <w:t>Governor’s Executive Order</w:t>
      </w:r>
      <w:r w:rsidR="00892AE6" w:rsidRPr="002C533A">
        <w:rPr>
          <w:color w:val="auto"/>
        </w:rPr>
        <w:t xml:space="preserve"> mandating water consumption reductions in response to the drought.</w:t>
      </w:r>
    </w:p>
    <w:p w:rsidR="0039557A" w:rsidRPr="002F6472" w:rsidRDefault="0039557A" w:rsidP="0039557A">
      <w:pPr>
        <w:pStyle w:val="BodyTextwithIndent"/>
        <w:spacing w:line="288" w:lineRule="auto"/>
        <w:ind w:firstLine="0"/>
        <w:rPr>
          <w:rFonts w:ascii="Arial Black" w:hAnsi="Arial Black"/>
          <w:b/>
          <w:color w:val="548DD4" w:themeColor="text2" w:themeTint="99"/>
          <w:u w:val="single"/>
        </w:rPr>
      </w:pPr>
      <w:r w:rsidRPr="002F6472">
        <w:rPr>
          <w:rFonts w:ascii="Arial Black" w:hAnsi="Arial Black"/>
          <w:b/>
          <w:color w:val="548DD4" w:themeColor="text2" w:themeTint="99"/>
          <w:u w:val="single"/>
        </w:rPr>
        <w:t>Water Rate Cases Approved in 2015</w:t>
      </w:r>
    </w:p>
    <w:p w:rsidR="0041727C" w:rsidRDefault="0039557A" w:rsidP="0041727C">
      <w:pPr>
        <w:pStyle w:val="BodyTextwithIndent"/>
        <w:spacing w:line="288" w:lineRule="auto"/>
        <w:ind w:firstLine="0"/>
      </w:pPr>
      <w:r w:rsidRPr="002C533A">
        <w:rPr>
          <w:rFonts w:ascii="Arial Black" w:hAnsi="Arial Black"/>
          <w:b/>
        </w:rPr>
        <w:t>Apple Valley Ranchos Water Company</w:t>
      </w:r>
    </w:p>
    <w:p w:rsidR="00F632C9" w:rsidRDefault="0039557A" w:rsidP="002F6472">
      <w:pPr>
        <w:pStyle w:val="NormalWeb"/>
        <w:spacing w:after="360" w:line="288" w:lineRule="auto"/>
        <w:ind w:firstLine="720"/>
        <w:jc w:val="both"/>
        <w:rPr>
          <w:b/>
          <w:color w:val="4F81BD" w:themeColor="accent1"/>
        </w:rPr>
      </w:pPr>
      <w:r>
        <w:rPr>
          <w:rFonts w:ascii="Arial" w:hAnsi="Arial" w:cs="Arial"/>
          <w:sz w:val="20"/>
          <w:szCs w:val="20"/>
        </w:rPr>
        <w:t>Apple Valley initially request</w:t>
      </w:r>
      <w:r w:rsidRPr="002C533A">
        <w:rPr>
          <w:rFonts w:ascii="Arial" w:hAnsi="Arial" w:cs="Arial"/>
          <w:sz w:val="20"/>
          <w:szCs w:val="20"/>
        </w:rPr>
        <w:t xml:space="preserve">ed </w:t>
      </w:r>
      <w:r>
        <w:rPr>
          <w:rFonts w:ascii="Arial" w:hAnsi="Arial" w:cs="Arial"/>
          <w:sz w:val="20"/>
          <w:szCs w:val="20"/>
        </w:rPr>
        <w:t>CPUC approval of</w:t>
      </w:r>
      <w:r w:rsidRPr="002C533A">
        <w:rPr>
          <w:rFonts w:ascii="Arial" w:hAnsi="Arial" w:cs="Arial"/>
          <w:sz w:val="20"/>
          <w:szCs w:val="20"/>
        </w:rPr>
        <w:t xml:space="preserve"> a cumulative increase of $7.3 million for 2015 – 2017. ORA’s analysis found that Apple Valley had over-estimated its revenue needs, particularly in the area of its Main Replacement Program. ORA worked with the utility to resolve many of the contested issues, resulting in a settlement agreement of a $5.7 million revenue increase for 2015-2017, which allows Apple Valley to continue to provide safe and clean water service in an efficient and cost-effective manner. The CPUC adopted the settlement proposal, which will save Apple Valley customers $1.8 million in 2015.   </w:t>
      </w:r>
    </w:p>
    <w:p w:rsidR="0039557A" w:rsidRPr="002F6472" w:rsidRDefault="0039557A" w:rsidP="00F632C9">
      <w:pPr>
        <w:pStyle w:val="BodyTextwithIndent"/>
        <w:spacing w:line="240" w:lineRule="auto"/>
        <w:ind w:firstLine="0"/>
        <w:rPr>
          <w:rFonts w:ascii="Arial Black" w:hAnsi="Arial Black"/>
          <w:b/>
          <w:color w:val="548DD4" w:themeColor="text2" w:themeTint="99"/>
          <w:u w:val="single"/>
        </w:rPr>
      </w:pPr>
      <w:r w:rsidRPr="002F6472">
        <w:rPr>
          <w:rFonts w:ascii="Arial Black" w:hAnsi="Arial Black"/>
          <w:b/>
          <w:color w:val="548DD4" w:themeColor="text2" w:themeTint="99"/>
          <w:u w:val="single"/>
        </w:rPr>
        <w:t xml:space="preserve">Water Rate Cases Pending CPUC Decision </w:t>
      </w:r>
    </w:p>
    <w:p w:rsidR="0039557A" w:rsidRPr="002C533A" w:rsidRDefault="0039557A" w:rsidP="0039557A">
      <w:pPr>
        <w:pStyle w:val="BodyTextwithIndent"/>
        <w:spacing w:line="288" w:lineRule="auto"/>
        <w:ind w:firstLine="0"/>
        <w:rPr>
          <w:rFonts w:ascii="Arial Black" w:hAnsi="Arial Black"/>
          <w:b/>
          <w:color w:val="auto"/>
        </w:rPr>
      </w:pPr>
      <w:r w:rsidRPr="002C533A">
        <w:rPr>
          <w:rFonts w:ascii="Arial Black" w:hAnsi="Arial Black"/>
          <w:b/>
          <w:color w:val="auto"/>
        </w:rPr>
        <w:t xml:space="preserve">Golden State Water Company </w:t>
      </w:r>
    </w:p>
    <w:p w:rsidR="00DF24D1" w:rsidRPr="002C533A" w:rsidRDefault="00DF24D1" w:rsidP="001115EE">
      <w:pPr>
        <w:pStyle w:val="NormalWeb"/>
        <w:spacing w:after="240" w:line="288" w:lineRule="auto"/>
        <w:jc w:val="both"/>
        <w:rPr>
          <w:rFonts w:ascii="Arial" w:hAnsi="Arial" w:cs="Arial"/>
          <w:sz w:val="20"/>
          <w:szCs w:val="20"/>
        </w:rPr>
      </w:pPr>
      <w:r w:rsidRPr="00CD0026">
        <w:rPr>
          <w:rFonts w:ascii="Arial" w:hAnsi="Arial" w:cs="Arial"/>
          <w:sz w:val="20"/>
          <w:szCs w:val="20"/>
        </w:rPr>
        <w:t xml:space="preserve">Golden State initially requested to </w:t>
      </w:r>
      <w:r w:rsidRPr="00CD0026">
        <w:rPr>
          <w:rFonts w:ascii="Arial" w:hAnsi="Arial" w:cs="Arial"/>
          <w:i/>
          <w:sz w:val="20"/>
          <w:szCs w:val="20"/>
        </w:rPr>
        <w:t>decrease</w:t>
      </w:r>
      <w:r w:rsidRPr="00CD0026">
        <w:rPr>
          <w:rFonts w:ascii="Arial" w:hAnsi="Arial" w:cs="Arial"/>
          <w:sz w:val="20"/>
          <w:szCs w:val="20"/>
        </w:rPr>
        <w:t xml:space="preserve"> its 2016 revenues by $1.6 million. ORA’s analysis found that Golden State had over-estimated its revenue needs in the areas of operations &amp; maintenance expenses,</w:t>
      </w:r>
      <w:r w:rsidR="008E2538">
        <w:rPr>
          <w:rFonts w:ascii="Arial" w:hAnsi="Arial" w:cs="Arial"/>
          <w:sz w:val="20"/>
          <w:szCs w:val="20"/>
        </w:rPr>
        <w:t xml:space="preserve"> </w:t>
      </w:r>
      <w:r w:rsidRPr="00CD0026">
        <w:rPr>
          <w:rFonts w:ascii="Arial" w:hAnsi="Arial" w:cs="Arial"/>
          <w:sz w:val="20"/>
          <w:szCs w:val="20"/>
        </w:rPr>
        <w:t xml:space="preserve">administrative and general expenses, </w:t>
      </w:r>
      <w:r>
        <w:rPr>
          <w:rFonts w:ascii="Arial" w:hAnsi="Arial" w:cs="Arial"/>
          <w:sz w:val="20"/>
          <w:szCs w:val="20"/>
        </w:rPr>
        <w:t xml:space="preserve">and </w:t>
      </w:r>
      <w:r w:rsidR="008E2538">
        <w:rPr>
          <w:rFonts w:ascii="Arial" w:hAnsi="Arial" w:cs="Arial"/>
          <w:sz w:val="20"/>
          <w:szCs w:val="20"/>
        </w:rPr>
        <w:t xml:space="preserve">certain </w:t>
      </w:r>
      <w:r w:rsidRPr="00CD0026">
        <w:rPr>
          <w:rFonts w:ascii="Arial" w:hAnsi="Arial" w:cs="Arial"/>
          <w:sz w:val="20"/>
          <w:szCs w:val="20"/>
        </w:rPr>
        <w:t>capital additions</w:t>
      </w:r>
      <w:r>
        <w:rPr>
          <w:rFonts w:ascii="Arial" w:hAnsi="Arial" w:cs="Arial"/>
          <w:sz w:val="20"/>
          <w:szCs w:val="20"/>
        </w:rPr>
        <w:t xml:space="preserve">. ORA reached a partial settlement with Golden State which includes lower sales estimates due to the drought. </w:t>
      </w:r>
      <w:r w:rsidRPr="00CD0026">
        <w:rPr>
          <w:rFonts w:ascii="Arial" w:hAnsi="Arial" w:cs="Arial"/>
          <w:sz w:val="20"/>
          <w:szCs w:val="20"/>
        </w:rPr>
        <w:t>ORA continues to litigate</w:t>
      </w:r>
      <w:r w:rsidR="001115EE">
        <w:rPr>
          <w:rFonts w:ascii="Arial" w:hAnsi="Arial" w:cs="Arial"/>
          <w:sz w:val="20"/>
          <w:szCs w:val="20"/>
        </w:rPr>
        <w:t xml:space="preserve"> </w:t>
      </w:r>
      <w:r w:rsidRPr="00CD0026">
        <w:rPr>
          <w:rFonts w:ascii="Arial" w:hAnsi="Arial" w:cs="Arial"/>
          <w:sz w:val="20"/>
          <w:szCs w:val="20"/>
        </w:rPr>
        <w:t>an additional $15 million</w:t>
      </w:r>
      <w:r>
        <w:rPr>
          <w:rFonts w:ascii="Arial" w:hAnsi="Arial" w:cs="Arial"/>
          <w:sz w:val="20"/>
          <w:szCs w:val="20"/>
        </w:rPr>
        <w:t xml:space="preserve"> in 2016 revenues</w:t>
      </w:r>
      <w:r w:rsidRPr="00CD0026">
        <w:rPr>
          <w:rFonts w:ascii="Arial" w:hAnsi="Arial" w:cs="Arial"/>
          <w:sz w:val="20"/>
          <w:szCs w:val="20"/>
        </w:rPr>
        <w:t xml:space="preserve"> due to unresolved issues over general office</w:t>
      </w:r>
      <w:r>
        <w:rPr>
          <w:rFonts w:ascii="Arial" w:hAnsi="Arial" w:cs="Arial"/>
          <w:sz w:val="20"/>
          <w:szCs w:val="20"/>
        </w:rPr>
        <w:t xml:space="preserve"> costs,</w:t>
      </w:r>
      <w:r w:rsidRPr="00CD0026">
        <w:rPr>
          <w:rFonts w:ascii="Arial" w:hAnsi="Arial" w:cs="Arial"/>
          <w:sz w:val="20"/>
          <w:szCs w:val="20"/>
        </w:rPr>
        <w:t xml:space="preserve"> company-wide capital expenditures, and employee compensation expenses.</w:t>
      </w:r>
      <w:r>
        <w:rPr>
          <w:rFonts w:ascii="Arial" w:hAnsi="Arial" w:cs="Arial"/>
          <w:sz w:val="20"/>
          <w:szCs w:val="20"/>
        </w:rPr>
        <w:t xml:space="preserve"> </w:t>
      </w:r>
      <w:r w:rsidRPr="00CD0026">
        <w:rPr>
          <w:rFonts w:ascii="Arial" w:hAnsi="Arial" w:cs="Arial"/>
          <w:sz w:val="20"/>
          <w:szCs w:val="20"/>
        </w:rPr>
        <w:t>ORA</w:t>
      </w:r>
      <w:r>
        <w:rPr>
          <w:rFonts w:ascii="Arial" w:hAnsi="Arial" w:cs="Arial"/>
          <w:sz w:val="20"/>
          <w:szCs w:val="20"/>
        </w:rPr>
        <w:t>’s</w:t>
      </w:r>
      <w:r w:rsidRPr="00CD0026">
        <w:rPr>
          <w:rFonts w:ascii="Arial" w:hAnsi="Arial" w:cs="Arial"/>
          <w:sz w:val="20"/>
          <w:szCs w:val="20"/>
        </w:rPr>
        <w:t xml:space="preserve"> </w:t>
      </w:r>
      <w:r>
        <w:rPr>
          <w:rFonts w:ascii="Arial" w:hAnsi="Arial" w:cs="Arial"/>
          <w:sz w:val="20"/>
          <w:szCs w:val="20"/>
        </w:rPr>
        <w:t xml:space="preserve">recommended revenues of $285 million results in zero increase in 2016 revenues and are </w:t>
      </w:r>
      <w:r w:rsidRPr="00CD0026">
        <w:rPr>
          <w:rFonts w:ascii="Arial" w:hAnsi="Arial" w:cs="Arial"/>
          <w:sz w:val="20"/>
          <w:szCs w:val="20"/>
        </w:rPr>
        <w:t xml:space="preserve">sufficient for Golden State to </w:t>
      </w:r>
      <w:r w:rsidR="002F6472">
        <w:rPr>
          <w:rFonts w:ascii="Arial" w:hAnsi="Arial" w:cs="Arial"/>
          <w:sz w:val="20"/>
          <w:szCs w:val="20"/>
        </w:rPr>
        <w:br/>
      </w:r>
      <w:r w:rsidR="002F6472">
        <w:rPr>
          <w:rFonts w:ascii="Arial" w:hAnsi="Arial" w:cs="Arial"/>
          <w:sz w:val="20"/>
          <w:szCs w:val="20"/>
        </w:rPr>
        <w:lastRenderedPageBreak/>
        <w:br/>
      </w:r>
      <w:r w:rsidRPr="00CD0026">
        <w:rPr>
          <w:rFonts w:ascii="Arial" w:hAnsi="Arial" w:cs="Arial"/>
          <w:sz w:val="20"/>
          <w:szCs w:val="20"/>
        </w:rPr>
        <w:t>operate its systems safely and reliably</w:t>
      </w:r>
      <w:r>
        <w:rPr>
          <w:rFonts w:ascii="Arial" w:hAnsi="Arial" w:cs="Arial"/>
          <w:sz w:val="20"/>
          <w:szCs w:val="20"/>
        </w:rPr>
        <w:t>.</w:t>
      </w:r>
      <w:r w:rsidR="001C0C2B">
        <w:rPr>
          <w:rFonts w:ascii="Arial" w:hAnsi="Arial" w:cs="Arial"/>
          <w:sz w:val="20"/>
          <w:szCs w:val="20"/>
        </w:rPr>
        <w:t xml:space="preserve"> </w:t>
      </w:r>
      <w:r w:rsidRPr="00DF24D1">
        <w:rPr>
          <w:rFonts w:ascii="Arial" w:hAnsi="Arial" w:cs="Arial"/>
          <w:sz w:val="20"/>
          <w:szCs w:val="20"/>
        </w:rPr>
        <w:t xml:space="preserve">A CPUC decision </w:t>
      </w:r>
      <w:r w:rsidR="00A12DFE">
        <w:rPr>
          <w:rFonts w:ascii="Arial" w:hAnsi="Arial" w:cs="Arial"/>
          <w:sz w:val="20"/>
          <w:szCs w:val="20"/>
        </w:rPr>
        <w:t>has not yet been issued</w:t>
      </w:r>
      <w:r w:rsidRPr="00DF24D1">
        <w:rPr>
          <w:rFonts w:ascii="Arial" w:hAnsi="Arial" w:cs="Arial"/>
          <w:sz w:val="20"/>
          <w:szCs w:val="20"/>
        </w:rPr>
        <w:t>.</w:t>
      </w:r>
    </w:p>
    <w:p w:rsidR="0039557A" w:rsidRPr="00486614" w:rsidRDefault="0039557A" w:rsidP="0039557A">
      <w:pPr>
        <w:pStyle w:val="BodyTextwithIndent"/>
        <w:spacing w:line="288" w:lineRule="auto"/>
        <w:ind w:firstLine="0"/>
        <w:rPr>
          <w:rFonts w:ascii="Arial Black" w:hAnsi="Arial Black"/>
          <w:b/>
          <w:color w:val="auto"/>
        </w:rPr>
      </w:pPr>
      <w:r w:rsidRPr="00486614">
        <w:rPr>
          <w:rFonts w:ascii="Arial Black" w:hAnsi="Arial Black"/>
          <w:b/>
          <w:color w:val="auto"/>
        </w:rPr>
        <w:t>Park Water Company</w:t>
      </w:r>
    </w:p>
    <w:p w:rsidR="0039557A" w:rsidRDefault="0039557A" w:rsidP="001115EE">
      <w:pPr>
        <w:spacing w:after="240" w:line="288" w:lineRule="auto"/>
        <w:ind w:firstLine="720"/>
        <w:jc w:val="both"/>
        <w:rPr>
          <w:rFonts w:ascii="Arial" w:hAnsi="Arial" w:cs="Arial"/>
          <w:color w:val="231F20"/>
          <w:sz w:val="20"/>
          <w:szCs w:val="20"/>
        </w:rPr>
      </w:pPr>
      <w:r w:rsidRPr="002C533A">
        <w:rPr>
          <w:rFonts w:ascii="Arial" w:hAnsi="Arial" w:cs="Arial"/>
          <w:sz w:val="20"/>
          <w:szCs w:val="20"/>
        </w:rPr>
        <w:t>Park Water initially requested to increase its cumulative</w:t>
      </w:r>
      <w:r w:rsidR="00175A31">
        <w:rPr>
          <w:rFonts w:ascii="Arial" w:hAnsi="Arial" w:cs="Arial"/>
          <w:sz w:val="20"/>
          <w:szCs w:val="20"/>
        </w:rPr>
        <w:t xml:space="preserve"> fiscal</w:t>
      </w:r>
      <w:r w:rsidRPr="002C533A">
        <w:rPr>
          <w:rFonts w:ascii="Arial" w:hAnsi="Arial" w:cs="Arial"/>
          <w:sz w:val="20"/>
          <w:szCs w:val="20"/>
        </w:rPr>
        <w:t xml:space="preserve"> revenues for 201</w:t>
      </w:r>
      <w:r w:rsidR="000C7AD1">
        <w:rPr>
          <w:rFonts w:ascii="Arial" w:hAnsi="Arial" w:cs="Arial"/>
          <w:sz w:val="20"/>
          <w:szCs w:val="20"/>
        </w:rPr>
        <w:t>6</w:t>
      </w:r>
      <w:r w:rsidRPr="002C533A">
        <w:rPr>
          <w:rFonts w:ascii="Arial" w:hAnsi="Arial" w:cs="Arial"/>
          <w:sz w:val="20"/>
          <w:szCs w:val="20"/>
        </w:rPr>
        <w:t xml:space="preserve"> – 2017 by approximately $7 million. ORA’s analysis determined that Park’s revenue increase is largely driven by necessary capital additions, purchased water expenses, operation &amp; maintenance, administrative costs, and taxes. ORA</w:t>
      </w:r>
      <w:r w:rsidR="00A13641">
        <w:rPr>
          <w:rFonts w:ascii="Arial" w:hAnsi="Arial" w:cs="Arial"/>
          <w:sz w:val="20"/>
          <w:szCs w:val="20"/>
        </w:rPr>
        <w:t xml:space="preserve"> </w:t>
      </w:r>
      <w:r w:rsidRPr="002C533A">
        <w:rPr>
          <w:rFonts w:ascii="Arial" w:hAnsi="Arial" w:cs="Arial"/>
          <w:sz w:val="20"/>
          <w:szCs w:val="20"/>
        </w:rPr>
        <w:t>worked with Park to come to a partial settlement agreement which would reduce the utility’s</w:t>
      </w:r>
      <w:r w:rsidR="000C7AD1">
        <w:rPr>
          <w:rFonts w:ascii="Arial" w:hAnsi="Arial" w:cs="Arial"/>
          <w:sz w:val="20"/>
          <w:szCs w:val="20"/>
        </w:rPr>
        <w:t xml:space="preserve"> 2016 </w:t>
      </w:r>
      <w:r w:rsidR="000C7AD1" w:rsidRPr="002C533A">
        <w:rPr>
          <w:rFonts w:ascii="Arial" w:hAnsi="Arial" w:cs="Arial"/>
          <w:sz w:val="20"/>
          <w:szCs w:val="20"/>
        </w:rPr>
        <w:t xml:space="preserve">increase </w:t>
      </w:r>
      <w:r w:rsidR="000C7AD1">
        <w:rPr>
          <w:rFonts w:ascii="Arial" w:hAnsi="Arial" w:cs="Arial"/>
          <w:sz w:val="20"/>
          <w:szCs w:val="20"/>
        </w:rPr>
        <w:t>by approximately $860,000.</w:t>
      </w:r>
      <w:r w:rsidRPr="002C533A">
        <w:rPr>
          <w:rFonts w:ascii="Arial" w:hAnsi="Arial" w:cs="Arial"/>
          <w:sz w:val="20"/>
          <w:szCs w:val="20"/>
        </w:rPr>
        <w:t xml:space="preserve"> </w:t>
      </w:r>
      <w:r>
        <w:rPr>
          <w:rFonts w:ascii="Arial" w:hAnsi="Arial" w:cs="Arial"/>
          <w:sz w:val="20"/>
          <w:szCs w:val="20"/>
        </w:rPr>
        <w:t xml:space="preserve">ORA supports the </w:t>
      </w:r>
      <w:r w:rsidRPr="002C533A">
        <w:rPr>
          <w:rFonts w:ascii="Arial" w:hAnsi="Arial" w:cs="Arial"/>
          <w:sz w:val="20"/>
          <w:szCs w:val="20"/>
        </w:rPr>
        <w:t>CPUC</w:t>
      </w:r>
      <w:r>
        <w:rPr>
          <w:rFonts w:ascii="Arial" w:hAnsi="Arial" w:cs="Arial"/>
          <w:sz w:val="20"/>
          <w:szCs w:val="20"/>
        </w:rPr>
        <w:t>’s</w:t>
      </w:r>
      <w:r w:rsidRPr="002C533A">
        <w:rPr>
          <w:rFonts w:ascii="Arial" w:hAnsi="Arial" w:cs="Arial"/>
          <w:sz w:val="20"/>
          <w:szCs w:val="20"/>
        </w:rPr>
        <w:t xml:space="preserve"> proposed decision </w:t>
      </w:r>
      <w:r>
        <w:rPr>
          <w:rFonts w:ascii="Arial" w:hAnsi="Arial" w:cs="Arial"/>
          <w:sz w:val="20"/>
          <w:szCs w:val="20"/>
        </w:rPr>
        <w:t xml:space="preserve">issued </w:t>
      </w:r>
      <w:r w:rsidRPr="002C533A">
        <w:rPr>
          <w:rFonts w:ascii="Arial" w:hAnsi="Arial" w:cs="Arial"/>
          <w:sz w:val="20"/>
          <w:szCs w:val="20"/>
        </w:rPr>
        <w:t>in November 2015. </w:t>
      </w:r>
      <w:r>
        <w:rPr>
          <w:rFonts w:ascii="Arial" w:hAnsi="Arial" w:cs="Arial"/>
          <w:sz w:val="20"/>
          <w:szCs w:val="20"/>
        </w:rPr>
        <w:t>A</w:t>
      </w:r>
      <w:r w:rsidRPr="002C533A">
        <w:rPr>
          <w:rFonts w:ascii="Arial" w:hAnsi="Arial" w:cs="Arial"/>
          <w:sz w:val="20"/>
          <w:szCs w:val="20"/>
        </w:rPr>
        <w:t xml:space="preserve"> final de</w:t>
      </w:r>
      <w:r w:rsidRPr="002C533A">
        <w:rPr>
          <w:rFonts w:ascii="Arial" w:hAnsi="Arial" w:cs="Arial"/>
          <w:color w:val="231F20"/>
          <w:sz w:val="20"/>
          <w:szCs w:val="20"/>
        </w:rPr>
        <w:t xml:space="preserve">cision </w:t>
      </w:r>
      <w:r>
        <w:rPr>
          <w:rFonts w:ascii="Arial" w:hAnsi="Arial" w:cs="Arial"/>
          <w:color w:val="231F20"/>
          <w:sz w:val="20"/>
          <w:szCs w:val="20"/>
        </w:rPr>
        <w:t xml:space="preserve">is expected </w:t>
      </w:r>
      <w:r w:rsidRPr="002C533A">
        <w:rPr>
          <w:rFonts w:ascii="Arial" w:hAnsi="Arial" w:cs="Arial"/>
          <w:color w:val="231F20"/>
          <w:sz w:val="20"/>
          <w:szCs w:val="20"/>
        </w:rPr>
        <w:t>by early 2016.</w:t>
      </w:r>
    </w:p>
    <w:p w:rsidR="0039557A" w:rsidRPr="002C533A" w:rsidRDefault="0039557A" w:rsidP="0039557A">
      <w:pPr>
        <w:pStyle w:val="BodyTextwithIndent"/>
        <w:spacing w:line="288" w:lineRule="auto"/>
        <w:ind w:firstLine="0"/>
        <w:rPr>
          <w:rFonts w:ascii="Arial Black" w:hAnsi="Arial Black"/>
          <w:b/>
        </w:rPr>
      </w:pPr>
      <w:r w:rsidRPr="002C533A">
        <w:rPr>
          <w:rFonts w:ascii="Arial Black" w:hAnsi="Arial Black"/>
          <w:b/>
        </w:rPr>
        <w:t>San Jose Water Company</w:t>
      </w:r>
    </w:p>
    <w:p w:rsidR="0039557A" w:rsidRPr="002C533A" w:rsidRDefault="0039557A" w:rsidP="007D6F5B">
      <w:pPr>
        <w:pStyle w:val="NormalWeb"/>
        <w:spacing w:after="120" w:line="288" w:lineRule="auto"/>
        <w:ind w:firstLine="720"/>
        <w:jc w:val="both"/>
        <w:rPr>
          <w:rFonts w:ascii="Arial" w:hAnsi="Arial" w:cs="Arial"/>
          <w:sz w:val="20"/>
          <w:szCs w:val="20"/>
        </w:rPr>
      </w:pPr>
      <w:r w:rsidRPr="002C533A">
        <w:rPr>
          <w:rFonts w:ascii="Arial" w:hAnsi="Arial" w:cs="Arial"/>
          <w:sz w:val="20"/>
          <w:szCs w:val="20"/>
        </w:rPr>
        <w:t xml:space="preserve">San Jose initially proposed a $62.4 million revenue requirement increase for 2016 – 2018. ORA’s analysis showed that San Jose over-estimated its revenue need in the areas of plant additions and operating expenses. Some of San Jose’s need to increase rates is driven by lower consumption due to water conservation, which will result in the collection of less revenue from customers. ORA negotiated with San Jose to resolve some of the contested issues, which resulted in a partial settlement agreement that would reduce San Jose’s request by more than $11 million. </w:t>
      </w:r>
    </w:p>
    <w:p w:rsidR="0039557A" w:rsidRDefault="0039557A" w:rsidP="00F14661">
      <w:pPr>
        <w:spacing w:after="360" w:line="288" w:lineRule="auto"/>
        <w:ind w:firstLine="720"/>
        <w:jc w:val="both"/>
        <w:rPr>
          <w:rFonts w:ascii="Arial" w:hAnsi="Arial" w:cs="Arial"/>
          <w:color w:val="231F20"/>
          <w:sz w:val="20"/>
          <w:szCs w:val="20"/>
        </w:rPr>
      </w:pPr>
      <w:r w:rsidRPr="002C533A">
        <w:rPr>
          <w:rFonts w:ascii="Arial" w:hAnsi="Arial" w:cs="Arial"/>
          <w:sz w:val="20"/>
          <w:szCs w:val="20"/>
        </w:rPr>
        <w:t xml:space="preserve">ORA continues to litigate approximately $24 million in the areas of conservation expenses, taxes, capital investment, and 33 new staff positions. </w:t>
      </w:r>
      <w:r>
        <w:rPr>
          <w:rFonts w:ascii="Arial" w:hAnsi="Arial" w:cs="Arial"/>
          <w:sz w:val="20"/>
          <w:szCs w:val="20"/>
        </w:rPr>
        <w:t>The s</w:t>
      </w:r>
      <w:r w:rsidRPr="002C533A">
        <w:rPr>
          <w:rFonts w:ascii="Arial" w:hAnsi="Arial" w:cs="Arial"/>
          <w:sz w:val="20"/>
          <w:szCs w:val="20"/>
        </w:rPr>
        <w:t xml:space="preserve">ettlement agreement and ORA’s </w:t>
      </w:r>
      <w:r>
        <w:rPr>
          <w:rFonts w:ascii="Arial" w:hAnsi="Arial" w:cs="Arial"/>
          <w:sz w:val="20"/>
          <w:szCs w:val="20"/>
        </w:rPr>
        <w:t xml:space="preserve">additional </w:t>
      </w:r>
      <w:r w:rsidRPr="002C533A">
        <w:rPr>
          <w:rFonts w:ascii="Arial" w:hAnsi="Arial" w:cs="Arial"/>
          <w:sz w:val="20"/>
          <w:szCs w:val="20"/>
        </w:rPr>
        <w:t>recommended reductions will provide San Jose with sufficient revenue to reliably provide safe water service to its customers. A CPUC decision is expected in early 2016.</w:t>
      </w:r>
    </w:p>
    <w:p w:rsidR="0039557A" w:rsidRPr="00ED7000" w:rsidRDefault="0039557A" w:rsidP="0039557A">
      <w:pPr>
        <w:pStyle w:val="BodyTextwithIndent"/>
        <w:spacing w:line="288" w:lineRule="auto"/>
        <w:ind w:firstLine="0"/>
        <w:rPr>
          <w:rFonts w:ascii="Arial Black" w:hAnsi="Arial Black"/>
          <w:b/>
          <w:color w:val="1F497D" w:themeColor="text2"/>
          <w:sz w:val="22"/>
          <w:u w:val="single"/>
        </w:rPr>
      </w:pPr>
      <w:r w:rsidRPr="00F14661">
        <w:rPr>
          <w:rFonts w:ascii="Arial Black" w:hAnsi="Arial Black"/>
          <w:b/>
          <w:color w:val="548DD4" w:themeColor="text2" w:themeTint="99"/>
          <w:u w:val="single"/>
        </w:rPr>
        <w:t xml:space="preserve">Water Rate Cases in Process </w:t>
      </w:r>
    </w:p>
    <w:p w:rsidR="0039557A" w:rsidRPr="00BE5999" w:rsidRDefault="0039557A" w:rsidP="0039557A">
      <w:pPr>
        <w:pStyle w:val="BodyTextwithIndent"/>
        <w:spacing w:line="288" w:lineRule="auto"/>
        <w:ind w:firstLine="0"/>
        <w:rPr>
          <w:rFonts w:ascii="Arial Black" w:hAnsi="Arial Black"/>
          <w:b/>
          <w:color w:val="auto"/>
        </w:rPr>
      </w:pPr>
      <w:r w:rsidRPr="00BE5999">
        <w:rPr>
          <w:rFonts w:ascii="Arial Black" w:hAnsi="Arial Black"/>
          <w:b/>
          <w:color w:val="auto"/>
        </w:rPr>
        <w:t>California Water Service</w:t>
      </w:r>
    </w:p>
    <w:p w:rsidR="00E57FCE" w:rsidRPr="00F14661" w:rsidRDefault="0039557A" w:rsidP="00F632C9">
      <w:pPr>
        <w:pStyle w:val="NormalWeb"/>
        <w:spacing w:after="120" w:line="288" w:lineRule="auto"/>
        <w:ind w:firstLine="720"/>
        <w:jc w:val="both"/>
        <w:rPr>
          <w:rFonts w:ascii="Arial" w:hAnsi="Arial" w:cs="Arial"/>
          <w:b/>
          <w:sz w:val="22"/>
        </w:rPr>
      </w:pPr>
      <w:r w:rsidRPr="002C533A">
        <w:rPr>
          <w:rFonts w:ascii="Arial" w:hAnsi="Arial" w:cs="Arial"/>
          <w:sz w:val="20"/>
          <w:szCs w:val="20"/>
        </w:rPr>
        <w:t xml:space="preserve">Cal Water requested to increase its revenues for 2017 – 2019 by a cumulative total of $140.4 million, with the largest increase of $94.8 million </w:t>
      </w:r>
      <w:r>
        <w:rPr>
          <w:rFonts w:ascii="Arial" w:hAnsi="Arial" w:cs="Arial"/>
          <w:sz w:val="20"/>
          <w:szCs w:val="20"/>
        </w:rPr>
        <w:t>(</w:t>
      </w:r>
      <w:r w:rsidRPr="002C533A">
        <w:rPr>
          <w:rFonts w:ascii="Arial" w:hAnsi="Arial" w:cs="Arial"/>
          <w:sz w:val="20"/>
          <w:szCs w:val="20"/>
        </w:rPr>
        <w:t>or 16.5%</w:t>
      </w:r>
      <w:r>
        <w:rPr>
          <w:rFonts w:ascii="Arial" w:hAnsi="Arial" w:cs="Arial"/>
          <w:sz w:val="20"/>
          <w:szCs w:val="20"/>
        </w:rPr>
        <w:t>) occurring</w:t>
      </w:r>
      <w:r w:rsidRPr="002C533A">
        <w:rPr>
          <w:rFonts w:ascii="Arial" w:hAnsi="Arial" w:cs="Arial"/>
          <w:sz w:val="20"/>
          <w:szCs w:val="20"/>
        </w:rPr>
        <w:t xml:space="preserve"> in 2017</w:t>
      </w:r>
      <w:r>
        <w:rPr>
          <w:rFonts w:ascii="Arial" w:hAnsi="Arial" w:cs="Arial"/>
          <w:sz w:val="20"/>
          <w:szCs w:val="20"/>
        </w:rPr>
        <w:t>.</w:t>
      </w:r>
      <w:r w:rsidRPr="002C533A">
        <w:rPr>
          <w:rFonts w:ascii="Arial" w:hAnsi="Arial" w:cs="Arial"/>
          <w:sz w:val="20"/>
          <w:szCs w:val="20"/>
        </w:rPr>
        <w:t xml:space="preserve"> ORA’s initial review found that the utility’s proposal requires greater scrutiny in the areas </w:t>
      </w:r>
      <w:r w:rsidR="00F14661">
        <w:rPr>
          <w:rFonts w:ascii="Arial" w:hAnsi="Arial" w:cs="Arial"/>
          <w:sz w:val="20"/>
          <w:szCs w:val="20"/>
        </w:rPr>
        <w:br/>
      </w:r>
      <w:r w:rsidR="00F14661">
        <w:rPr>
          <w:rFonts w:ascii="Arial" w:hAnsi="Arial" w:cs="Arial"/>
          <w:sz w:val="20"/>
          <w:szCs w:val="20"/>
        </w:rPr>
        <w:lastRenderedPageBreak/>
        <w:br/>
      </w:r>
      <w:r w:rsidRPr="002C533A">
        <w:rPr>
          <w:rFonts w:ascii="Arial" w:hAnsi="Arial" w:cs="Arial"/>
          <w:sz w:val="20"/>
          <w:szCs w:val="20"/>
        </w:rPr>
        <w:t xml:space="preserve">of sales forecast, operation &amp; maintenance expenses, administrative &amp; general expenses, and capital </w:t>
      </w:r>
      <w:r w:rsidR="009F1BD9">
        <w:rPr>
          <w:rFonts w:ascii="Arial" w:hAnsi="Arial" w:cs="Arial"/>
          <w:sz w:val="20"/>
          <w:szCs w:val="20"/>
        </w:rPr>
        <w:br/>
      </w:r>
      <w:r w:rsidRPr="002C533A">
        <w:rPr>
          <w:rFonts w:ascii="Arial" w:hAnsi="Arial" w:cs="Arial"/>
          <w:sz w:val="20"/>
          <w:szCs w:val="20"/>
        </w:rPr>
        <w:t xml:space="preserve">investment. ORA is currently performing an in-depth analysis of Cal Water’s application to determine whether the requested rate increases are reasonable and in the best interest of ratepayers. ORA expects to issue its full report of findings and recommendations in the first quarter of 2016. </w:t>
      </w:r>
    </w:p>
    <w:p w:rsidR="0039557A" w:rsidRPr="00BE5999" w:rsidRDefault="0039557A" w:rsidP="0039557A">
      <w:pPr>
        <w:pStyle w:val="BodyTextwithIndent"/>
        <w:spacing w:line="288" w:lineRule="auto"/>
        <w:ind w:firstLine="0"/>
        <w:rPr>
          <w:rFonts w:ascii="Arial Black" w:hAnsi="Arial Black"/>
          <w:b/>
          <w:color w:val="auto"/>
        </w:rPr>
      </w:pPr>
      <w:r w:rsidRPr="00BE5999">
        <w:rPr>
          <w:rFonts w:ascii="Arial Black" w:hAnsi="Arial Black"/>
          <w:b/>
          <w:color w:val="auto"/>
        </w:rPr>
        <w:t>Great Oaks Water Company</w:t>
      </w:r>
    </w:p>
    <w:p w:rsidR="0039557A" w:rsidRPr="002C533A" w:rsidRDefault="0039557A" w:rsidP="00F14661">
      <w:pPr>
        <w:pStyle w:val="NormalWeb"/>
        <w:spacing w:line="288" w:lineRule="auto"/>
        <w:ind w:firstLine="720"/>
        <w:jc w:val="both"/>
        <w:rPr>
          <w:rFonts w:ascii="Arial" w:hAnsi="Arial" w:cs="Arial"/>
          <w:sz w:val="20"/>
          <w:szCs w:val="20"/>
        </w:rPr>
      </w:pPr>
      <w:r>
        <w:rPr>
          <w:rFonts w:ascii="Arial" w:hAnsi="Arial" w:cs="Arial"/>
          <w:sz w:val="20"/>
          <w:szCs w:val="20"/>
        </w:rPr>
        <w:t>Great Oaks</w:t>
      </w:r>
      <w:r w:rsidRPr="002C533A">
        <w:rPr>
          <w:rFonts w:ascii="Arial" w:hAnsi="Arial" w:cs="Arial"/>
          <w:sz w:val="20"/>
          <w:szCs w:val="20"/>
        </w:rPr>
        <w:t xml:space="preserve"> requested to increase its </w:t>
      </w:r>
      <w:r w:rsidRPr="00175A31">
        <w:rPr>
          <w:rFonts w:ascii="Arial" w:hAnsi="Arial" w:cs="Arial"/>
          <w:sz w:val="20"/>
          <w:szCs w:val="20"/>
        </w:rPr>
        <w:t xml:space="preserve">2016 </w:t>
      </w:r>
      <w:r w:rsidR="00175A31" w:rsidRPr="00175A31">
        <w:rPr>
          <w:rFonts w:ascii="Arial" w:hAnsi="Arial" w:cs="Arial"/>
          <w:sz w:val="20"/>
          <w:szCs w:val="20"/>
        </w:rPr>
        <w:t>–</w:t>
      </w:r>
      <w:r w:rsidRPr="00175A31">
        <w:rPr>
          <w:rFonts w:ascii="Arial" w:hAnsi="Arial" w:cs="Arial"/>
          <w:sz w:val="20"/>
          <w:szCs w:val="20"/>
        </w:rPr>
        <w:t xml:space="preserve"> 2017</w:t>
      </w:r>
      <w:r w:rsidR="00175A31">
        <w:rPr>
          <w:rFonts w:ascii="Arial" w:hAnsi="Arial" w:cs="Arial"/>
          <w:sz w:val="20"/>
          <w:szCs w:val="20"/>
        </w:rPr>
        <w:t xml:space="preserve"> fiscal</w:t>
      </w:r>
      <w:r w:rsidRPr="002C533A">
        <w:rPr>
          <w:rFonts w:ascii="Arial" w:hAnsi="Arial" w:cs="Arial"/>
          <w:sz w:val="20"/>
          <w:szCs w:val="20"/>
        </w:rPr>
        <w:t xml:space="preserve"> revenues by $1.4 million – or 8.5%. ORA performed a detailed analysis of Great Oaks’ request and found that the utility has over-estimated its need, </w:t>
      </w:r>
      <w:r w:rsidR="0041727C">
        <w:rPr>
          <w:rFonts w:ascii="Arial" w:hAnsi="Arial" w:cs="Arial"/>
          <w:sz w:val="20"/>
          <w:szCs w:val="20"/>
        </w:rPr>
        <w:br/>
      </w:r>
      <w:r w:rsidRPr="002C533A">
        <w:rPr>
          <w:rFonts w:ascii="Arial" w:hAnsi="Arial" w:cs="Arial"/>
          <w:sz w:val="20"/>
          <w:szCs w:val="20"/>
        </w:rPr>
        <w:t xml:space="preserve">particularly in the areas of payroll, pension, and other operating expenses. ORA recommended that the CPUC should </w:t>
      </w:r>
      <w:r w:rsidRPr="002C533A">
        <w:rPr>
          <w:rFonts w:ascii="Arial" w:hAnsi="Arial" w:cs="Arial"/>
          <w:i/>
          <w:sz w:val="20"/>
          <w:szCs w:val="20"/>
        </w:rPr>
        <w:t>decrease</w:t>
      </w:r>
      <w:r w:rsidRPr="002C533A">
        <w:rPr>
          <w:rFonts w:ascii="Arial" w:hAnsi="Arial" w:cs="Arial"/>
          <w:sz w:val="20"/>
          <w:szCs w:val="20"/>
        </w:rPr>
        <w:t xml:space="preserve"> Great Oaks’ 2016 - 2017 </w:t>
      </w:r>
      <w:r w:rsidR="00175A31">
        <w:rPr>
          <w:rFonts w:ascii="Arial" w:hAnsi="Arial" w:cs="Arial"/>
          <w:sz w:val="20"/>
          <w:szCs w:val="20"/>
        </w:rPr>
        <w:t xml:space="preserve">fiscal </w:t>
      </w:r>
      <w:r w:rsidRPr="002C533A">
        <w:rPr>
          <w:rFonts w:ascii="Arial" w:hAnsi="Arial" w:cs="Arial"/>
          <w:sz w:val="20"/>
          <w:szCs w:val="20"/>
        </w:rPr>
        <w:t>revenue request by $2.2 million. A CPUC decision is expected by summer 2016.</w:t>
      </w:r>
    </w:p>
    <w:p w:rsidR="0039557A" w:rsidRPr="002C533A" w:rsidRDefault="0039557A" w:rsidP="0039557A">
      <w:pPr>
        <w:spacing w:after="120" w:line="288" w:lineRule="auto"/>
        <w:jc w:val="both"/>
        <w:rPr>
          <w:rFonts w:ascii="Arial" w:hAnsi="Arial" w:cs="Arial"/>
          <w:sz w:val="20"/>
          <w:szCs w:val="20"/>
        </w:rPr>
      </w:pPr>
    </w:p>
    <w:p w:rsidR="0039557A" w:rsidRPr="00BE5999" w:rsidRDefault="0039557A" w:rsidP="00F632C9">
      <w:pPr>
        <w:spacing w:after="120"/>
        <w:jc w:val="both"/>
        <w:rPr>
          <w:rFonts w:ascii="Arial Black" w:hAnsi="Arial Black" w:cs="Arial"/>
          <w:color w:val="4F81BD" w:themeColor="accent1"/>
          <w:sz w:val="22"/>
          <w:szCs w:val="20"/>
        </w:rPr>
      </w:pPr>
      <w:r w:rsidRPr="00BE5999">
        <w:rPr>
          <w:rFonts w:ascii="Arial Black" w:hAnsi="Arial Black" w:cs="Arial"/>
          <w:color w:val="4F81BD" w:themeColor="accent1"/>
          <w:sz w:val="22"/>
          <w:szCs w:val="20"/>
        </w:rPr>
        <w:t>Water Rate Design</w:t>
      </w:r>
    </w:p>
    <w:p w:rsidR="0039557A" w:rsidRPr="002C533A" w:rsidRDefault="0039557A" w:rsidP="001C0C2B">
      <w:pPr>
        <w:pStyle w:val="BodyTextwithIndent"/>
        <w:spacing w:line="240" w:lineRule="auto"/>
        <w:ind w:firstLine="0"/>
        <w:jc w:val="left"/>
        <w:rPr>
          <w:rFonts w:ascii="Arial Black" w:hAnsi="Arial Black"/>
        </w:rPr>
      </w:pPr>
      <w:r w:rsidRPr="002C533A">
        <w:rPr>
          <w:rFonts w:ascii="Arial Black" w:hAnsi="Arial Black"/>
          <w:b/>
          <w:color w:val="auto"/>
        </w:rPr>
        <w:t xml:space="preserve">California American Water </w:t>
      </w:r>
      <w:r w:rsidRPr="002C533A">
        <w:rPr>
          <w:rFonts w:ascii="Arial Black" w:hAnsi="Arial Black"/>
          <w:b/>
        </w:rPr>
        <w:t xml:space="preserve">- </w:t>
      </w:r>
      <w:r w:rsidRPr="002C533A">
        <w:rPr>
          <w:rFonts w:ascii="Arial Black" w:hAnsi="Arial Black"/>
        </w:rPr>
        <w:t xml:space="preserve">Rate Design for Monterey District </w:t>
      </w:r>
    </w:p>
    <w:p w:rsidR="007C1629" w:rsidRPr="002C533A" w:rsidRDefault="0039557A" w:rsidP="007D6F5B">
      <w:pPr>
        <w:spacing w:after="120" w:line="288" w:lineRule="auto"/>
        <w:ind w:firstLine="360"/>
        <w:jc w:val="both"/>
        <w:rPr>
          <w:rFonts w:ascii="Arial" w:hAnsi="Arial" w:cs="Arial"/>
          <w:sz w:val="20"/>
          <w:szCs w:val="20"/>
        </w:rPr>
      </w:pPr>
      <w:r>
        <w:rPr>
          <w:rFonts w:ascii="Arial" w:hAnsi="Arial" w:cs="Arial"/>
          <w:sz w:val="20"/>
          <w:szCs w:val="20"/>
        </w:rPr>
        <w:t>Due to</w:t>
      </w:r>
      <w:r w:rsidRPr="002C533A">
        <w:rPr>
          <w:rFonts w:ascii="Arial" w:hAnsi="Arial" w:cs="Arial"/>
          <w:sz w:val="20"/>
          <w:szCs w:val="20"/>
        </w:rPr>
        <w:t xml:space="preserve"> </w:t>
      </w:r>
      <w:r>
        <w:rPr>
          <w:rFonts w:ascii="Arial" w:hAnsi="Arial" w:cs="Arial"/>
          <w:sz w:val="20"/>
          <w:szCs w:val="20"/>
        </w:rPr>
        <w:t xml:space="preserve">severe </w:t>
      </w:r>
      <w:r w:rsidRPr="002C533A">
        <w:rPr>
          <w:rFonts w:ascii="Arial" w:hAnsi="Arial" w:cs="Arial"/>
          <w:sz w:val="20"/>
          <w:szCs w:val="20"/>
        </w:rPr>
        <w:t xml:space="preserve">water constraints and </w:t>
      </w:r>
      <w:r>
        <w:rPr>
          <w:rFonts w:ascii="Arial" w:hAnsi="Arial" w:cs="Arial"/>
          <w:sz w:val="20"/>
          <w:szCs w:val="20"/>
        </w:rPr>
        <w:t xml:space="preserve">the </w:t>
      </w:r>
      <w:r w:rsidRPr="002C533A">
        <w:rPr>
          <w:rFonts w:ascii="Arial" w:hAnsi="Arial" w:cs="Arial"/>
          <w:sz w:val="20"/>
          <w:szCs w:val="20"/>
        </w:rPr>
        <w:t xml:space="preserve">complexity </w:t>
      </w:r>
      <w:r>
        <w:rPr>
          <w:rFonts w:ascii="Arial" w:hAnsi="Arial" w:cs="Arial"/>
          <w:sz w:val="20"/>
          <w:szCs w:val="20"/>
        </w:rPr>
        <w:t xml:space="preserve">of required </w:t>
      </w:r>
      <w:r w:rsidRPr="002C533A">
        <w:rPr>
          <w:rFonts w:ascii="Arial" w:hAnsi="Arial" w:cs="Arial"/>
          <w:sz w:val="20"/>
          <w:szCs w:val="20"/>
        </w:rPr>
        <w:t>solutions in the Monterey Water district, the CPUC established a separate proceeding for this water district to address rate design issues</w:t>
      </w:r>
      <w:r>
        <w:rPr>
          <w:rFonts w:ascii="Arial" w:hAnsi="Arial" w:cs="Arial"/>
          <w:sz w:val="20"/>
          <w:szCs w:val="20"/>
        </w:rPr>
        <w:t>,</w:t>
      </w:r>
      <w:r w:rsidRPr="002C533A">
        <w:rPr>
          <w:rFonts w:ascii="Arial" w:hAnsi="Arial" w:cs="Arial"/>
          <w:sz w:val="20"/>
          <w:szCs w:val="20"/>
        </w:rPr>
        <w:t xml:space="preserve"> including how steeply increasing water revenue requirements will be allocated to various customer classes. Cal Am has proposed:</w:t>
      </w:r>
    </w:p>
    <w:p w:rsidR="0039557A" w:rsidRPr="002C533A" w:rsidRDefault="0039557A" w:rsidP="00500D4F">
      <w:pPr>
        <w:pStyle w:val="ListParagraph0"/>
        <w:numPr>
          <w:ilvl w:val="0"/>
          <w:numId w:val="46"/>
        </w:numPr>
        <w:spacing w:after="120" w:line="288" w:lineRule="auto"/>
        <w:jc w:val="both"/>
        <w:rPr>
          <w:rFonts w:ascii="Arial" w:eastAsia="Times New Roman" w:hAnsi="Arial" w:cs="Arial"/>
          <w:sz w:val="20"/>
          <w:szCs w:val="20"/>
        </w:rPr>
      </w:pPr>
      <w:r w:rsidRPr="002C533A">
        <w:rPr>
          <w:rFonts w:ascii="Arial" w:eastAsia="Times New Roman" w:hAnsi="Arial" w:cs="Arial"/>
          <w:sz w:val="20"/>
          <w:szCs w:val="20"/>
        </w:rPr>
        <w:t>A pilot program to forecast water rates by using the most recent recorded consumption data.</w:t>
      </w:r>
    </w:p>
    <w:p w:rsidR="0039557A" w:rsidRPr="002C533A" w:rsidRDefault="0039557A" w:rsidP="00500D4F">
      <w:pPr>
        <w:pStyle w:val="ListParagraph0"/>
        <w:numPr>
          <w:ilvl w:val="0"/>
          <w:numId w:val="46"/>
        </w:numPr>
        <w:spacing w:after="120" w:line="288" w:lineRule="auto"/>
        <w:jc w:val="both"/>
        <w:rPr>
          <w:rFonts w:ascii="Arial" w:eastAsia="Times New Roman" w:hAnsi="Arial" w:cs="Arial"/>
          <w:sz w:val="20"/>
          <w:szCs w:val="20"/>
        </w:rPr>
      </w:pPr>
      <w:r w:rsidRPr="002C533A">
        <w:rPr>
          <w:rFonts w:ascii="Arial" w:eastAsia="Times New Roman" w:hAnsi="Arial" w:cs="Arial"/>
          <w:sz w:val="20"/>
          <w:szCs w:val="20"/>
        </w:rPr>
        <w:t xml:space="preserve">Simplified conservation and rationing plans by consolidating into fewer stages. </w:t>
      </w:r>
    </w:p>
    <w:p w:rsidR="0039557A" w:rsidRPr="002C533A" w:rsidRDefault="0039557A" w:rsidP="00500D4F">
      <w:pPr>
        <w:numPr>
          <w:ilvl w:val="0"/>
          <w:numId w:val="46"/>
        </w:numPr>
        <w:spacing w:after="120" w:line="288" w:lineRule="auto"/>
        <w:jc w:val="both"/>
        <w:rPr>
          <w:rFonts w:ascii="Arial" w:hAnsi="Arial" w:cs="Arial"/>
          <w:sz w:val="20"/>
          <w:szCs w:val="20"/>
        </w:rPr>
      </w:pPr>
      <w:r w:rsidRPr="002C533A">
        <w:rPr>
          <w:rFonts w:ascii="Arial" w:hAnsi="Arial" w:cs="Arial"/>
          <w:sz w:val="20"/>
          <w:szCs w:val="20"/>
        </w:rPr>
        <w:t>Changes to rate design that no longer provide individual customer allotments.  </w:t>
      </w:r>
    </w:p>
    <w:p w:rsidR="009F1BD9" w:rsidRDefault="0039557A" w:rsidP="007D6F5B">
      <w:pPr>
        <w:spacing w:after="120" w:line="288" w:lineRule="auto"/>
        <w:ind w:firstLine="360"/>
        <w:jc w:val="both"/>
        <w:rPr>
          <w:rFonts w:ascii="Arial" w:hAnsi="Arial" w:cs="Arial"/>
          <w:sz w:val="20"/>
          <w:szCs w:val="20"/>
        </w:rPr>
      </w:pPr>
      <w:r w:rsidRPr="002C533A">
        <w:rPr>
          <w:rFonts w:ascii="Arial" w:hAnsi="Arial" w:cs="Arial"/>
          <w:sz w:val="20"/>
          <w:szCs w:val="20"/>
        </w:rPr>
        <w:t>Cal Am proposes to modify its basic water allotment system and treat all single-family residential customers in the same manner</w:t>
      </w:r>
      <w:r>
        <w:rPr>
          <w:rFonts w:ascii="Arial" w:hAnsi="Arial" w:cs="Arial"/>
          <w:sz w:val="20"/>
          <w:szCs w:val="20"/>
        </w:rPr>
        <w:t xml:space="preserve">. To do this, Cal Am would </w:t>
      </w:r>
      <w:r w:rsidRPr="002C533A">
        <w:rPr>
          <w:rFonts w:ascii="Arial" w:hAnsi="Arial" w:cs="Arial"/>
          <w:sz w:val="20"/>
          <w:szCs w:val="20"/>
        </w:rPr>
        <w:t xml:space="preserve">compress rate tiers in order to decrease the disparity in per unit water rates between low- and high-volume water consumers. Additionally, Cal Am proposes to collect a greater portion of its revenues through fixed charges to mitigate under-collection. </w:t>
      </w:r>
    </w:p>
    <w:p w:rsidR="00F14661" w:rsidRDefault="00F14661" w:rsidP="00F14661">
      <w:pPr>
        <w:spacing w:line="288" w:lineRule="auto"/>
        <w:ind w:firstLine="360"/>
        <w:jc w:val="both"/>
        <w:rPr>
          <w:rFonts w:ascii="Arial" w:hAnsi="Arial" w:cs="Arial"/>
          <w:sz w:val="20"/>
          <w:szCs w:val="20"/>
        </w:rPr>
      </w:pPr>
    </w:p>
    <w:p w:rsidR="0039557A" w:rsidRDefault="0039557A" w:rsidP="00EF436B">
      <w:pPr>
        <w:spacing w:after="120" w:line="288" w:lineRule="auto"/>
        <w:ind w:firstLine="360"/>
        <w:jc w:val="both"/>
        <w:rPr>
          <w:rFonts w:ascii="Arial" w:hAnsi="Arial" w:cs="Arial"/>
          <w:sz w:val="20"/>
          <w:szCs w:val="20"/>
        </w:rPr>
      </w:pPr>
      <w:r w:rsidRPr="002C533A">
        <w:rPr>
          <w:rFonts w:ascii="Arial" w:hAnsi="Arial" w:cs="Arial"/>
          <w:sz w:val="20"/>
          <w:szCs w:val="20"/>
        </w:rPr>
        <w:t xml:space="preserve">ORA </w:t>
      </w:r>
      <w:r>
        <w:rPr>
          <w:rFonts w:ascii="Arial" w:hAnsi="Arial" w:cs="Arial"/>
          <w:sz w:val="20"/>
          <w:szCs w:val="20"/>
        </w:rPr>
        <w:t xml:space="preserve">supports </w:t>
      </w:r>
      <w:r w:rsidRPr="002C533A">
        <w:rPr>
          <w:rFonts w:ascii="Arial" w:hAnsi="Arial" w:cs="Arial"/>
          <w:sz w:val="20"/>
          <w:szCs w:val="20"/>
        </w:rPr>
        <w:t xml:space="preserve">Cal Am’s request to eliminate the water allocation for outdoor landscaping </w:t>
      </w:r>
      <w:r>
        <w:rPr>
          <w:rFonts w:ascii="Arial" w:hAnsi="Arial" w:cs="Arial"/>
          <w:sz w:val="20"/>
          <w:szCs w:val="20"/>
        </w:rPr>
        <w:t xml:space="preserve">based on its analysis that </w:t>
      </w:r>
      <w:r w:rsidRPr="002C533A">
        <w:rPr>
          <w:rFonts w:ascii="Arial" w:hAnsi="Arial" w:cs="Arial"/>
          <w:sz w:val="20"/>
          <w:szCs w:val="20"/>
        </w:rPr>
        <w:t>the current water allotment model effectively serves as a discount for residential customers with larger lot sizes. This solution also serves to create a rate design that aligns the appropriate price signal with the state’s conservation policy goals to eliminate discretionary outdoor water use in response to the drought. In order to avoid customer rate shock,</w:t>
      </w:r>
      <w:r w:rsidR="006D2868">
        <w:rPr>
          <w:rFonts w:ascii="Arial" w:hAnsi="Arial" w:cs="Arial"/>
          <w:sz w:val="20"/>
          <w:szCs w:val="20"/>
        </w:rPr>
        <w:t xml:space="preserve"> ORA recommend</w:t>
      </w:r>
      <w:r w:rsidR="001C0C2B">
        <w:rPr>
          <w:rFonts w:ascii="Arial" w:hAnsi="Arial" w:cs="Arial"/>
          <w:sz w:val="20"/>
          <w:szCs w:val="20"/>
        </w:rPr>
        <w:t>s</w:t>
      </w:r>
      <w:r w:rsidR="006D2868">
        <w:rPr>
          <w:rFonts w:ascii="Arial" w:hAnsi="Arial" w:cs="Arial"/>
          <w:sz w:val="20"/>
          <w:szCs w:val="20"/>
        </w:rPr>
        <w:t xml:space="preserve"> that</w:t>
      </w:r>
      <w:r w:rsidR="00E75978">
        <w:rPr>
          <w:rFonts w:ascii="Arial" w:hAnsi="Arial" w:cs="Arial"/>
          <w:sz w:val="20"/>
          <w:szCs w:val="20"/>
        </w:rPr>
        <w:t xml:space="preserve"> </w:t>
      </w:r>
      <w:r w:rsidRPr="002C533A">
        <w:rPr>
          <w:rFonts w:ascii="Arial" w:hAnsi="Arial" w:cs="Arial"/>
          <w:sz w:val="20"/>
          <w:szCs w:val="20"/>
        </w:rPr>
        <w:t>Cal Am be required to provide customized, understandable notices to customers</w:t>
      </w:r>
      <w:r w:rsidR="00E71561">
        <w:rPr>
          <w:rFonts w:ascii="Arial" w:hAnsi="Arial" w:cs="Arial"/>
          <w:sz w:val="20"/>
          <w:szCs w:val="20"/>
        </w:rPr>
        <w:t xml:space="preserve"> that will</w:t>
      </w:r>
      <w:r w:rsidRPr="002C533A">
        <w:rPr>
          <w:rFonts w:ascii="Arial" w:hAnsi="Arial" w:cs="Arial"/>
          <w:sz w:val="20"/>
          <w:szCs w:val="20"/>
        </w:rPr>
        <w:t xml:space="preserve"> explain how this change to outdoor water allotment will impact their water bills. </w:t>
      </w:r>
      <w:r>
        <w:rPr>
          <w:rFonts w:ascii="Arial" w:hAnsi="Arial" w:cs="Arial"/>
          <w:sz w:val="20"/>
          <w:szCs w:val="20"/>
        </w:rPr>
        <w:t xml:space="preserve">In 2016, </w:t>
      </w:r>
      <w:r w:rsidRPr="002C533A">
        <w:rPr>
          <w:rFonts w:ascii="Arial" w:hAnsi="Arial" w:cs="Arial"/>
          <w:sz w:val="20"/>
          <w:szCs w:val="20"/>
        </w:rPr>
        <w:t>this</w:t>
      </w:r>
      <w:r w:rsidR="00106DE4">
        <w:rPr>
          <w:rFonts w:ascii="Arial" w:hAnsi="Arial" w:cs="Arial"/>
          <w:sz w:val="20"/>
          <w:szCs w:val="20"/>
        </w:rPr>
        <w:t xml:space="preserve"> </w:t>
      </w:r>
      <w:r w:rsidRPr="002C533A">
        <w:rPr>
          <w:rFonts w:ascii="Arial" w:hAnsi="Arial" w:cs="Arial"/>
          <w:sz w:val="20"/>
          <w:szCs w:val="20"/>
        </w:rPr>
        <w:t>proceeding will address the remaining water allotment issues.</w:t>
      </w:r>
    </w:p>
    <w:p w:rsidR="0039557A" w:rsidRPr="002C533A" w:rsidRDefault="0039557A" w:rsidP="0039557A">
      <w:pPr>
        <w:spacing w:after="120" w:line="288" w:lineRule="auto"/>
        <w:jc w:val="both"/>
        <w:rPr>
          <w:rFonts w:ascii="Arial" w:hAnsi="Arial" w:cs="Arial"/>
          <w:sz w:val="20"/>
          <w:szCs w:val="20"/>
        </w:rPr>
      </w:pPr>
    </w:p>
    <w:p w:rsidR="0039557A" w:rsidRPr="00BE5999" w:rsidRDefault="0039557A" w:rsidP="0039557A">
      <w:pPr>
        <w:pStyle w:val="BodyTextwithIndent"/>
        <w:spacing w:line="288" w:lineRule="auto"/>
        <w:ind w:firstLine="0"/>
        <w:rPr>
          <w:rFonts w:ascii="Arial Black" w:hAnsi="Arial Black"/>
          <w:b/>
          <w:color w:val="4F81BD" w:themeColor="accent1"/>
          <w:sz w:val="22"/>
        </w:rPr>
      </w:pPr>
      <w:r w:rsidRPr="00BE5999">
        <w:rPr>
          <w:rFonts w:ascii="Arial Black" w:hAnsi="Arial Black"/>
          <w:b/>
          <w:color w:val="4F81BD" w:themeColor="accent1"/>
          <w:sz w:val="22"/>
        </w:rPr>
        <w:t>Water Policy Issues</w:t>
      </w:r>
    </w:p>
    <w:p w:rsidR="0039557A" w:rsidRPr="00BE5999" w:rsidRDefault="0039557A" w:rsidP="0039557A">
      <w:pPr>
        <w:pStyle w:val="BodyTextwithIndent"/>
        <w:spacing w:line="288" w:lineRule="auto"/>
        <w:ind w:firstLine="0"/>
        <w:rPr>
          <w:rFonts w:ascii="Arial Black" w:hAnsi="Arial Black"/>
          <w:b/>
        </w:rPr>
      </w:pPr>
      <w:r w:rsidRPr="00BE5999">
        <w:rPr>
          <w:rFonts w:ascii="Arial Black" w:hAnsi="Arial Black"/>
          <w:b/>
        </w:rPr>
        <w:t>Affordability in Water Rates</w:t>
      </w:r>
    </w:p>
    <w:p w:rsidR="0039557A" w:rsidRPr="002C533A" w:rsidRDefault="0039557A" w:rsidP="007D6F5B">
      <w:pPr>
        <w:autoSpaceDE w:val="0"/>
        <w:autoSpaceDN w:val="0"/>
        <w:adjustRightInd w:val="0"/>
        <w:spacing w:after="120" w:line="288" w:lineRule="auto"/>
        <w:ind w:firstLine="720"/>
        <w:jc w:val="both"/>
        <w:rPr>
          <w:rFonts w:ascii="Arial" w:hAnsi="Arial" w:cs="Arial"/>
          <w:sz w:val="20"/>
          <w:szCs w:val="20"/>
        </w:rPr>
      </w:pPr>
      <w:r w:rsidRPr="002C533A">
        <w:rPr>
          <w:rFonts w:ascii="Arial" w:hAnsi="Arial" w:cs="Arial"/>
          <w:sz w:val="20"/>
          <w:szCs w:val="20"/>
        </w:rPr>
        <w:t xml:space="preserve">In 2015, the CPUC initiated a proceeding to consider the existing framework for rates, charges, and cost recovery for water utilities, within the context of the drought. The proceeding will evaluate current policies and potential improvements for rate structures, accounting mechanisms, </w:t>
      </w:r>
      <w:r>
        <w:rPr>
          <w:rFonts w:ascii="Arial" w:hAnsi="Arial" w:cs="Arial"/>
          <w:sz w:val="20"/>
          <w:szCs w:val="20"/>
        </w:rPr>
        <w:t xml:space="preserve">and </w:t>
      </w:r>
      <w:r w:rsidRPr="002C533A">
        <w:rPr>
          <w:rFonts w:ascii="Arial" w:hAnsi="Arial" w:cs="Arial"/>
          <w:sz w:val="20"/>
          <w:szCs w:val="20"/>
        </w:rPr>
        <w:t>the role and use of data and technology to assist in smart conservation.</w:t>
      </w:r>
    </w:p>
    <w:p w:rsidR="0039557A" w:rsidRPr="002C533A" w:rsidRDefault="0039557A" w:rsidP="009F1BD9">
      <w:pPr>
        <w:spacing w:after="120" w:line="288" w:lineRule="auto"/>
        <w:ind w:firstLine="720"/>
        <w:jc w:val="both"/>
        <w:rPr>
          <w:rFonts w:ascii="Arial" w:hAnsi="Arial" w:cs="Arial"/>
          <w:sz w:val="20"/>
          <w:szCs w:val="20"/>
        </w:rPr>
      </w:pPr>
      <w:r w:rsidRPr="002C533A">
        <w:rPr>
          <w:rFonts w:ascii="Arial" w:hAnsi="Arial" w:cs="Arial"/>
          <w:sz w:val="20"/>
          <w:szCs w:val="20"/>
        </w:rPr>
        <w:t>ORA supports mechanisms to make water more affordable, as well as strategies to cost-effectively improve water conservation and efficiency. Affordability is a function of the price of water service, the quantity of water consumed, and the ability of household</w:t>
      </w:r>
      <w:r>
        <w:rPr>
          <w:rFonts w:ascii="Arial" w:hAnsi="Arial" w:cs="Arial"/>
          <w:sz w:val="20"/>
          <w:szCs w:val="20"/>
        </w:rPr>
        <w:t xml:space="preserve">s to pay for that service. ORA </w:t>
      </w:r>
      <w:r w:rsidRPr="002C533A">
        <w:rPr>
          <w:rFonts w:ascii="Arial" w:hAnsi="Arial" w:cs="Arial"/>
          <w:sz w:val="20"/>
          <w:szCs w:val="20"/>
        </w:rPr>
        <w:t>advocat</w:t>
      </w:r>
      <w:r>
        <w:rPr>
          <w:rFonts w:ascii="Arial" w:hAnsi="Arial" w:cs="Arial"/>
          <w:sz w:val="20"/>
          <w:szCs w:val="20"/>
        </w:rPr>
        <w:t>es</w:t>
      </w:r>
      <w:r w:rsidRPr="002C533A">
        <w:rPr>
          <w:rFonts w:ascii="Arial" w:hAnsi="Arial" w:cs="Arial"/>
          <w:sz w:val="20"/>
          <w:szCs w:val="20"/>
        </w:rPr>
        <w:t xml:space="preserve"> for a revenue adjustment mechanism that will better align with water companies’ risk and reward profile to ensure that utilities do not recover unjustified revenues. Such a mechanism should prioritize and track conservation in order to avoid shifting normal business risks onto ratepayers. It is also essential for the water utilities to better communicate with their customers </w:t>
      </w:r>
      <w:r>
        <w:rPr>
          <w:rFonts w:ascii="Arial" w:hAnsi="Arial" w:cs="Arial"/>
          <w:sz w:val="20"/>
          <w:szCs w:val="20"/>
        </w:rPr>
        <w:t xml:space="preserve">to educate </w:t>
      </w:r>
      <w:r w:rsidRPr="002C533A">
        <w:rPr>
          <w:rFonts w:ascii="Arial" w:hAnsi="Arial" w:cs="Arial"/>
          <w:sz w:val="20"/>
          <w:szCs w:val="20"/>
        </w:rPr>
        <w:t xml:space="preserve">ratepayers </w:t>
      </w:r>
      <w:r>
        <w:rPr>
          <w:rFonts w:ascii="Arial" w:hAnsi="Arial" w:cs="Arial"/>
          <w:sz w:val="20"/>
          <w:szCs w:val="20"/>
        </w:rPr>
        <w:t xml:space="preserve">to </w:t>
      </w:r>
      <w:r w:rsidRPr="002C533A">
        <w:rPr>
          <w:rFonts w:ascii="Arial" w:hAnsi="Arial" w:cs="Arial"/>
          <w:sz w:val="20"/>
          <w:szCs w:val="20"/>
        </w:rPr>
        <w:t xml:space="preserve">understand the impact of conservation upon water rates. </w:t>
      </w:r>
    </w:p>
    <w:p w:rsidR="0039557A" w:rsidRPr="00BE5999" w:rsidRDefault="0039557A" w:rsidP="0039557A">
      <w:pPr>
        <w:pStyle w:val="BodyTextwithIndent"/>
        <w:spacing w:line="288" w:lineRule="auto"/>
        <w:ind w:firstLine="0"/>
        <w:rPr>
          <w:rFonts w:ascii="Arial Black" w:hAnsi="Arial Black"/>
          <w:b/>
        </w:rPr>
      </w:pPr>
      <w:r w:rsidRPr="00BE5999">
        <w:rPr>
          <w:rFonts w:ascii="Arial Black" w:hAnsi="Arial Black"/>
          <w:b/>
        </w:rPr>
        <w:t>Water-Energy Nexus</w:t>
      </w:r>
    </w:p>
    <w:p w:rsidR="0041727C" w:rsidRPr="002D6B09" w:rsidRDefault="0039557A" w:rsidP="002D6B09">
      <w:pPr>
        <w:spacing w:after="120" w:line="288" w:lineRule="auto"/>
        <w:ind w:firstLine="720"/>
        <w:jc w:val="both"/>
        <w:rPr>
          <w:rFonts w:ascii="Arial" w:hAnsi="Arial" w:cs="Arial"/>
          <w:sz w:val="20"/>
          <w:szCs w:val="20"/>
        </w:rPr>
      </w:pPr>
      <w:r w:rsidRPr="002C533A">
        <w:rPr>
          <w:rFonts w:ascii="Arial" w:hAnsi="Arial" w:cs="Arial"/>
          <w:sz w:val="20"/>
          <w:szCs w:val="20"/>
        </w:rPr>
        <w:t xml:space="preserve">ORA supports deployment of targeted Water-Energy partnership programs as a key strategy to further the state’s initiatives for energy efficiency and water conservation. To support these objectives, </w:t>
      </w:r>
      <w:r w:rsidRPr="00E75978">
        <w:rPr>
          <w:rFonts w:ascii="Arial" w:hAnsi="Arial" w:cs="Arial"/>
          <w:sz w:val="20"/>
          <w:szCs w:val="20"/>
        </w:rPr>
        <w:t xml:space="preserve">ORA </w:t>
      </w:r>
      <w:r w:rsidR="00EF436B">
        <w:rPr>
          <w:rFonts w:ascii="Arial" w:hAnsi="Arial" w:cs="Arial"/>
          <w:sz w:val="20"/>
          <w:szCs w:val="20"/>
        </w:rPr>
        <w:br/>
      </w:r>
      <w:r w:rsidR="00EF436B">
        <w:rPr>
          <w:rFonts w:ascii="Arial" w:hAnsi="Arial" w:cs="Arial"/>
          <w:sz w:val="20"/>
          <w:szCs w:val="20"/>
        </w:rPr>
        <w:lastRenderedPageBreak/>
        <w:br/>
      </w:r>
      <w:r w:rsidRPr="00E75978">
        <w:rPr>
          <w:rFonts w:ascii="Arial" w:hAnsi="Arial" w:cs="Arial"/>
          <w:sz w:val="20"/>
          <w:szCs w:val="20"/>
        </w:rPr>
        <w:t>successfully petitioned the CPUC to open a proceeding</w:t>
      </w:r>
      <w:r w:rsidRPr="002C533A">
        <w:rPr>
          <w:rFonts w:ascii="Arial" w:hAnsi="Arial" w:cs="Arial"/>
          <w:sz w:val="20"/>
          <w:szCs w:val="20"/>
        </w:rPr>
        <w:t xml:space="preserve"> to develop partnerships between energy and water utilities</w:t>
      </w:r>
      <w:r>
        <w:rPr>
          <w:rFonts w:ascii="Arial" w:hAnsi="Arial" w:cs="Arial"/>
          <w:sz w:val="20"/>
          <w:szCs w:val="20"/>
        </w:rPr>
        <w:t xml:space="preserve">. ORA </w:t>
      </w:r>
      <w:r w:rsidRPr="002C533A">
        <w:rPr>
          <w:rFonts w:ascii="Arial" w:hAnsi="Arial" w:cs="Arial"/>
          <w:sz w:val="20"/>
          <w:szCs w:val="20"/>
        </w:rPr>
        <w:t xml:space="preserve">participated in stakeholder working groups to shape tools </w:t>
      </w:r>
      <w:r w:rsidR="00175A31">
        <w:rPr>
          <w:rFonts w:ascii="Arial" w:hAnsi="Arial" w:cs="Arial"/>
          <w:sz w:val="20"/>
          <w:szCs w:val="20"/>
        </w:rPr>
        <w:t xml:space="preserve">for estimating the embedded energy in water and the cost that would be avoided in building additional capacity to generate energy. </w:t>
      </w:r>
      <w:r w:rsidRPr="002C533A">
        <w:rPr>
          <w:rFonts w:ascii="Arial" w:hAnsi="Arial" w:cs="Arial"/>
          <w:sz w:val="20"/>
          <w:szCs w:val="20"/>
        </w:rPr>
        <w:t>ORA supports the CPUC’s decision adopting these new tools, which is largely consistent with ORA’s recommendations. The decision allows Energy Efficiency program administrators to use the tools to demonstrate tangible benefits of water-saving programs to energy ratepayers, thereby encouraging sustainable</w:t>
      </w:r>
      <w:r w:rsidR="00175A31">
        <w:rPr>
          <w:rFonts w:ascii="Arial" w:hAnsi="Arial" w:cs="Arial"/>
          <w:sz w:val="20"/>
          <w:szCs w:val="20"/>
        </w:rPr>
        <w:t xml:space="preserve"> </w:t>
      </w:r>
      <w:r w:rsidRPr="002C533A">
        <w:rPr>
          <w:rFonts w:ascii="Arial" w:hAnsi="Arial" w:cs="Arial"/>
          <w:sz w:val="20"/>
          <w:szCs w:val="20"/>
        </w:rPr>
        <w:t>voluntary water-energy partnerships. ORA has urged the CPUC to evaluate the lessons-learned from the tools within a year of adoption in order to optimize energy and water savings.   </w:t>
      </w:r>
    </w:p>
    <w:p w:rsidR="00F14661" w:rsidRDefault="00F14661" w:rsidP="005A0649">
      <w:pPr>
        <w:autoSpaceDE w:val="0"/>
        <w:autoSpaceDN w:val="0"/>
        <w:adjustRightInd w:val="0"/>
        <w:spacing w:after="120" w:line="288" w:lineRule="auto"/>
        <w:rPr>
          <w:rFonts w:ascii="Arial Black" w:hAnsi="Arial Black"/>
          <w:color w:val="4F81BD" w:themeColor="accent1"/>
          <w:szCs w:val="22"/>
        </w:rPr>
      </w:pPr>
    </w:p>
    <w:p w:rsidR="00EF436B" w:rsidRDefault="00EF436B" w:rsidP="005A0649">
      <w:pPr>
        <w:autoSpaceDE w:val="0"/>
        <w:autoSpaceDN w:val="0"/>
        <w:adjustRightInd w:val="0"/>
        <w:spacing w:after="120" w:line="288" w:lineRule="auto"/>
        <w:rPr>
          <w:rFonts w:ascii="Arial Black" w:hAnsi="Arial Black"/>
          <w:color w:val="4F81BD" w:themeColor="accent1"/>
          <w:szCs w:val="22"/>
        </w:rPr>
      </w:pPr>
    </w:p>
    <w:p w:rsidR="00F14661" w:rsidRDefault="00F14661" w:rsidP="005A0649">
      <w:pPr>
        <w:autoSpaceDE w:val="0"/>
        <w:autoSpaceDN w:val="0"/>
        <w:adjustRightInd w:val="0"/>
        <w:spacing w:after="120" w:line="288" w:lineRule="auto"/>
        <w:rPr>
          <w:rFonts w:ascii="Arial Black" w:hAnsi="Arial Black"/>
          <w:color w:val="4F81BD" w:themeColor="accent1"/>
          <w:szCs w:val="22"/>
        </w:rPr>
      </w:pPr>
    </w:p>
    <w:p w:rsidR="00C328B8" w:rsidRDefault="00F041DF" w:rsidP="005A0649">
      <w:pPr>
        <w:autoSpaceDE w:val="0"/>
        <w:autoSpaceDN w:val="0"/>
        <w:adjustRightInd w:val="0"/>
        <w:spacing w:after="120" w:line="288" w:lineRule="auto"/>
        <w:rPr>
          <w:rFonts w:ascii="Arial Black" w:hAnsi="Arial Black"/>
          <w:color w:val="4F81BD" w:themeColor="accent1"/>
          <w:szCs w:val="22"/>
        </w:rPr>
      </w:pPr>
      <w:r>
        <w:rPr>
          <w:rFonts w:ascii="Arial Black" w:hAnsi="Arial Black"/>
          <w:noProof/>
          <w:color w:val="4F81BD" w:themeColor="accent1"/>
          <w:szCs w:val="22"/>
        </w:rPr>
        <mc:AlternateContent>
          <mc:Choice Requires="wps">
            <w:drawing>
              <wp:anchor distT="0" distB="0" distL="114300" distR="114300" simplePos="0" relativeHeight="251639294" behindDoc="0" locked="0" layoutInCell="1" allowOverlap="1" wp14:anchorId="526D322A" wp14:editId="422A65E0">
                <wp:simplePos x="0" y="0"/>
                <wp:positionH relativeFrom="column">
                  <wp:posOffset>1682115</wp:posOffset>
                </wp:positionH>
                <wp:positionV relativeFrom="paragraph">
                  <wp:posOffset>134924</wp:posOffset>
                </wp:positionV>
                <wp:extent cx="1582309" cy="1447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582309" cy="144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80" w:rsidRDefault="00CE6E80" w:rsidP="00C328B8">
                            <w:r>
                              <w:rPr>
                                <w:noProof/>
                              </w:rPr>
                              <w:drawing>
                                <wp:inline distT="0" distB="0" distL="0" distR="0" wp14:anchorId="04A0263B" wp14:editId="0EE75E02">
                                  <wp:extent cx="1112355" cy="115922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fiber.png"/>
                                          <pic:cNvPicPr/>
                                        </pic:nvPicPr>
                                        <pic:blipFill>
                                          <a:blip r:embed="rId33">
                                            <a:extLst>
                                              <a:ext uri="{28A0092B-C50C-407E-A947-70E740481C1C}">
                                                <a14:useLocalDpi xmlns:a14="http://schemas.microsoft.com/office/drawing/2010/main" val="0"/>
                                              </a:ext>
                                            </a:extLst>
                                          </a:blip>
                                          <a:stretch>
                                            <a:fillRect/>
                                          </a:stretch>
                                        </pic:blipFill>
                                        <pic:spPr>
                                          <a:xfrm>
                                            <a:off x="0" y="0"/>
                                            <a:ext cx="1114805" cy="11617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53" type="#_x0000_t202" style="position:absolute;margin-left:132.45pt;margin-top:10.6pt;width:124.6pt;height:114pt;z-index:251639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" filled="f" stroked="f" strokeweight=".5pt">
                <v:textbox>
                  <w:txbxContent>
                    <w:p w:rsidR="00CE6E80" w:rsidRDefault="00CE6E80" w:rsidP="00C328B8">
                      <w:r>
                        <w:rPr>
                          <w:noProof/>
                        </w:rPr>
                        <w:drawing>
                          <wp:inline distT="0" distB="0" distL="0" distR="0" wp14:anchorId="04A0263B" wp14:editId="0EE75E02">
                            <wp:extent cx="1112355" cy="115922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fiber.png"/>
                                    <pic:cNvPicPr/>
                                  </pic:nvPicPr>
                                  <pic:blipFill>
                                    <a:blip r:embed="rId33">
                                      <a:extLst>
                                        <a:ext uri="{28A0092B-C50C-407E-A947-70E740481C1C}">
                                          <a14:useLocalDpi xmlns:a14="http://schemas.microsoft.com/office/drawing/2010/main" val="0"/>
                                        </a:ext>
                                      </a:extLst>
                                    </a:blip>
                                    <a:stretch>
                                      <a:fillRect/>
                                    </a:stretch>
                                  </pic:blipFill>
                                  <pic:spPr>
                                    <a:xfrm>
                                      <a:off x="0" y="0"/>
                                      <a:ext cx="1114805" cy="1161781"/>
                                    </a:xfrm>
                                    <a:prstGeom prst="rect">
                                      <a:avLst/>
                                    </a:prstGeom>
                                  </pic:spPr>
                                </pic:pic>
                              </a:graphicData>
                            </a:graphic>
                          </wp:inline>
                        </w:drawing>
                      </w:r>
                    </w:p>
                  </w:txbxContent>
                </v:textbox>
              </v:shape>
            </w:pict>
          </mc:Fallback>
        </mc:AlternateContent>
      </w:r>
    </w:p>
    <w:p w:rsidR="005A0649" w:rsidRDefault="005A0649" w:rsidP="005A0649">
      <w:pPr>
        <w:autoSpaceDE w:val="0"/>
        <w:autoSpaceDN w:val="0"/>
        <w:adjustRightInd w:val="0"/>
        <w:spacing w:after="120" w:line="288" w:lineRule="auto"/>
        <w:rPr>
          <w:rFonts w:ascii="Arial Black" w:hAnsi="Arial Black"/>
          <w:color w:val="4F81BD" w:themeColor="accent1"/>
          <w:szCs w:val="22"/>
        </w:rPr>
      </w:pPr>
    </w:p>
    <w:p w:rsidR="00F041DF" w:rsidRDefault="00F041DF" w:rsidP="005A0649">
      <w:pPr>
        <w:autoSpaceDE w:val="0"/>
        <w:autoSpaceDN w:val="0"/>
        <w:adjustRightInd w:val="0"/>
        <w:spacing w:after="120" w:line="288" w:lineRule="auto"/>
        <w:rPr>
          <w:rFonts w:ascii="Arial Black" w:hAnsi="Arial Black"/>
          <w:color w:val="4F81BD" w:themeColor="accent1"/>
          <w:szCs w:val="22"/>
        </w:rPr>
      </w:pPr>
    </w:p>
    <w:p w:rsidR="005A0649" w:rsidRPr="00E71561" w:rsidRDefault="005A0649" w:rsidP="005A0649">
      <w:pPr>
        <w:autoSpaceDE w:val="0"/>
        <w:autoSpaceDN w:val="0"/>
        <w:adjustRightInd w:val="0"/>
        <w:spacing w:after="120" w:line="288" w:lineRule="auto"/>
        <w:rPr>
          <w:rFonts w:ascii="Arial Black" w:hAnsi="Arial Black"/>
          <w:color w:val="1F497D" w:themeColor="text2"/>
          <w:szCs w:val="22"/>
        </w:rPr>
      </w:pPr>
      <w:r w:rsidRPr="00E71561">
        <w:rPr>
          <w:rFonts w:ascii="Arial Black" w:hAnsi="Arial Black"/>
          <w:color w:val="1F497D" w:themeColor="text2"/>
          <w:szCs w:val="22"/>
        </w:rPr>
        <w:t>COMMUNICATIONS</w:t>
      </w:r>
    </w:p>
    <w:p w:rsidR="008A2BF2" w:rsidRPr="002C533A" w:rsidRDefault="008A2BF2" w:rsidP="00D7507D">
      <w:pPr>
        <w:pStyle w:val="BodyTextNoIndent"/>
        <w:spacing w:line="288" w:lineRule="auto"/>
        <w:ind w:firstLine="720"/>
      </w:pPr>
      <w:r w:rsidRPr="002C533A">
        <w:t xml:space="preserve">ORA advocates for the fair treatment of wireline and wireless telephone service customers, as well as to ensure universal access to affordable broadband services. ORA supports programs that promote greater access to services across a variety of technology platforms, because communications is a basic societal necessity. </w:t>
      </w:r>
    </w:p>
    <w:p w:rsidR="002D6B09" w:rsidRDefault="008A2BF2" w:rsidP="002D6B09">
      <w:pPr>
        <w:pStyle w:val="BodyTextNoIndent"/>
        <w:spacing w:line="288" w:lineRule="auto"/>
        <w:ind w:firstLine="720"/>
      </w:pPr>
      <w:r w:rsidRPr="002C533A">
        <w:t xml:space="preserve">ORA’s Communications efforts in 2015 primarily focused on affordability, consumer protection, service quality, and </w:t>
      </w:r>
      <w:r w:rsidR="001C0C2B">
        <w:t xml:space="preserve">the </w:t>
      </w:r>
      <w:r w:rsidRPr="002C533A">
        <w:t xml:space="preserve">reliability </w:t>
      </w:r>
      <w:r w:rsidR="001C0C2B">
        <w:t>of</w:t>
      </w:r>
      <w:r w:rsidRPr="002C533A">
        <w:t xml:space="preserve"> voice and broadband Internet services. This year ORA evaluated several merger and acquisition requests to ensure they were in the public interest. ORA also worked to shape the CPUC’s new Rate Case Plan for small telephone companies</w:t>
      </w:r>
      <w:r>
        <w:t xml:space="preserve">, which </w:t>
      </w:r>
      <w:r w:rsidRPr="002C533A">
        <w:t>will guide the review of setting rates and subsidies in high cost regions of California. Additionally, ORA advocated for enhanced customer protections to ensure customers receive consistent high-quality services.</w:t>
      </w:r>
    </w:p>
    <w:p w:rsidR="00EF436B" w:rsidRPr="00EF436B" w:rsidRDefault="00EF436B" w:rsidP="00EF436B">
      <w:pPr>
        <w:pStyle w:val="GreyHeading2StyleGroup1"/>
        <w:spacing w:after="0" w:line="288" w:lineRule="auto"/>
        <w:rPr>
          <w:b w:val="0"/>
          <w:color w:val="4F81BD" w:themeColor="accent1"/>
          <w:sz w:val="22"/>
        </w:rPr>
      </w:pPr>
    </w:p>
    <w:p w:rsidR="008A2BF2" w:rsidRPr="009E1377" w:rsidRDefault="008A2BF2" w:rsidP="008A2BF2">
      <w:pPr>
        <w:pStyle w:val="GreyHeading2StyleGroup1"/>
        <w:spacing w:line="288" w:lineRule="auto"/>
        <w:rPr>
          <w:rFonts w:ascii="Arial Black" w:hAnsi="Arial Black"/>
          <w:color w:val="4F81BD" w:themeColor="accent1"/>
          <w:sz w:val="22"/>
        </w:rPr>
      </w:pPr>
      <w:r w:rsidRPr="009E1377">
        <w:rPr>
          <w:rFonts w:ascii="Arial Black" w:hAnsi="Arial Black"/>
          <w:color w:val="4F81BD" w:themeColor="accent1"/>
          <w:sz w:val="22"/>
        </w:rPr>
        <w:t>Mergers and Acquisitions</w:t>
      </w:r>
    </w:p>
    <w:p w:rsidR="002D6B09" w:rsidRDefault="008A2BF2" w:rsidP="00EF436B">
      <w:pPr>
        <w:pStyle w:val="GreyHeading2StyleGroup1"/>
        <w:spacing w:after="240" w:line="288" w:lineRule="auto"/>
        <w:ind w:firstLine="720"/>
        <w:rPr>
          <w:b w:val="0"/>
          <w:color w:val="000000" w:themeColor="text1"/>
        </w:rPr>
      </w:pPr>
      <w:r w:rsidRPr="002C533A">
        <w:rPr>
          <w:b w:val="0"/>
          <w:color w:val="000000" w:themeColor="text1"/>
        </w:rPr>
        <w:t xml:space="preserve">In 2015, ORA performed in-depth analysis </w:t>
      </w:r>
      <w:r w:rsidRPr="002C533A">
        <w:rPr>
          <w:rStyle w:val="A1"/>
          <w:b w:val="0"/>
        </w:rPr>
        <w:t xml:space="preserve">and </w:t>
      </w:r>
      <w:r w:rsidRPr="002C533A">
        <w:rPr>
          <w:b w:val="0"/>
        </w:rPr>
        <w:t>then developed recommendations</w:t>
      </w:r>
      <w:r w:rsidRPr="002C533A">
        <w:t xml:space="preserve"> </w:t>
      </w:r>
      <w:r w:rsidRPr="002C533A">
        <w:rPr>
          <w:b w:val="0"/>
          <w:color w:val="000000" w:themeColor="text1"/>
        </w:rPr>
        <w:t xml:space="preserve">on three merger and acquisition applications that would </w:t>
      </w:r>
      <w:r w:rsidRPr="002C533A">
        <w:rPr>
          <w:b w:val="0"/>
        </w:rPr>
        <w:t>further consolidate the communications industry in California, and</w:t>
      </w:r>
      <w:r w:rsidRPr="002C533A">
        <w:rPr>
          <w:b w:val="0"/>
          <w:color w:val="000000" w:themeColor="text1"/>
        </w:rPr>
        <w:t xml:space="preserve"> impact millions of customers for telephone and broadband services. ORA examined these industry requests to ensure that they comport with state and federal laws, would benefit customers, and are not harmful to competition. </w:t>
      </w:r>
    </w:p>
    <w:p w:rsidR="008A2BF2" w:rsidRPr="009E1377" w:rsidRDefault="008A2BF2">
      <w:pPr>
        <w:pStyle w:val="GreyHeading2StyleGroup1"/>
        <w:spacing w:line="288" w:lineRule="auto"/>
        <w:rPr>
          <w:rFonts w:ascii="Arial Black" w:hAnsi="Arial Black"/>
        </w:rPr>
      </w:pPr>
      <w:r w:rsidRPr="009E1377">
        <w:rPr>
          <w:rFonts w:ascii="Arial Black" w:hAnsi="Arial Black"/>
        </w:rPr>
        <w:t>Comcast-Time Warner Sale and Transfer</w:t>
      </w:r>
    </w:p>
    <w:p w:rsidR="008A2BF2" w:rsidRPr="002C533A" w:rsidRDefault="008A2BF2" w:rsidP="00EF436B">
      <w:pPr>
        <w:pStyle w:val="NormalWeb"/>
        <w:spacing w:after="240" w:line="288" w:lineRule="auto"/>
        <w:ind w:firstLine="720"/>
        <w:jc w:val="both"/>
        <w:rPr>
          <w:rFonts w:ascii="Arial" w:hAnsi="Arial" w:cs="Arial"/>
          <w:color w:val="000000" w:themeColor="text1"/>
          <w:sz w:val="20"/>
          <w:szCs w:val="20"/>
        </w:rPr>
      </w:pPr>
      <w:r w:rsidRPr="002C533A">
        <w:rPr>
          <w:rFonts w:ascii="Arial" w:hAnsi="Arial" w:cs="Arial"/>
          <w:color w:val="000000" w:themeColor="text1"/>
          <w:sz w:val="20"/>
          <w:szCs w:val="20"/>
        </w:rPr>
        <w:t>The proposed sale and transfer of Time Warner Cable, Charter, and Bright House to Comcast would have impacted 10.6 million households in California. If approved, the combined companies would have been the largest provider of broadband Internet access service in California. The CPUC’s 2015 proposed decisions found that ORA’s analysis and recommendations were convincing in the potential harmful consequences that would occur as a result of this sale and transfer. Comcast ultimately motioned the CPUC to withdraw the application. ORA successfully persuaded the CPUC to preserve the year-long litigation record to serve as</w:t>
      </w:r>
      <w:r>
        <w:rPr>
          <w:rFonts w:ascii="Arial" w:hAnsi="Arial" w:cs="Arial"/>
          <w:color w:val="000000" w:themeColor="text1"/>
          <w:sz w:val="20"/>
          <w:szCs w:val="20"/>
        </w:rPr>
        <w:t xml:space="preserve"> </w:t>
      </w:r>
      <w:r w:rsidRPr="002C533A">
        <w:rPr>
          <w:rFonts w:ascii="Arial" w:hAnsi="Arial" w:cs="Arial"/>
          <w:color w:val="000000" w:themeColor="text1"/>
          <w:sz w:val="20"/>
          <w:szCs w:val="20"/>
        </w:rPr>
        <w:t>an important foundation to understanding the state of the communications industry in California.</w:t>
      </w:r>
    </w:p>
    <w:p w:rsidR="008A2BF2" w:rsidRPr="00762190" w:rsidRDefault="008A2BF2" w:rsidP="008A2BF2">
      <w:pPr>
        <w:pStyle w:val="GreyHeading2StyleGroup1"/>
        <w:spacing w:line="288" w:lineRule="auto"/>
        <w:rPr>
          <w:rFonts w:ascii="Arial Black" w:hAnsi="Arial Black"/>
        </w:rPr>
      </w:pPr>
      <w:r w:rsidRPr="00762190">
        <w:rPr>
          <w:rFonts w:ascii="Arial Black" w:hAnsi="Arial Black"/>
        </w:rPr>
        <w:t xml:space="preserve">Frontier-Verizon Sale and Transfer </w:t>
      </w:r>
    </w:p>
    <w:p w:rsidR="00F041DF" w:rsidRPr="00F14661" w:rsidRDefault="008A2BF2" w:rsidP="00EF436B">
      <w:pPr>
        <w:spacing w:after="240" w:line="288" w:lineRule="auto"/>
        <w:ind w:firstLine="720"/>
        <w:jc w:val="both"/>
        <w:rPr>
          <w:rFonts w:ascii="Arial" w:hAnsi="Arial" w:cs="Arial"/>
          <w:sz w:val="22"/>
        </w:rPr>
      </w:pPr>
      <w:r w:rsidRPr="002C533A">
        <w:rPr>
          <w:rFonts w:ascii="Arial" w:hAnsi="Arial" w:cs="Arial"/>
          <w:color w:val="000000" w:themeColor="text1"/>
          <w:sz w:val="20"/>
          <w:szCs w:val="20"/>
        </w:rPr>
        <w:t>The sale and transfer of Verizon California's wireline assets, operations, and customers to Frontier impact</w:t>
      </w:r>
      <w:r>
        <w:rPr>
          <w:rFonts w:ascii="Arial" w:hAnsi="Arial" w:cs="Arial"/>
          <w:color w:val="000000" w:themeColor="text1"/>
          <w:sz w:val="20"/>
          <w:szCs w:val="20"/>
        </w:rPr>
        <w:t>s 2.8 million households, primari</w:t>
      </w:r>
      <w:r w:rsidRPr="002C533A">
        <w:rPr>
          <w:rFonts w:ascii="Arial" w:hAnsi="Arial" w:cs="Arial"/>
          <w:color w:val="000000" w:themeColor="text1"/>
          <w:sz w:val="20"/>
          <w:szCs w:val="20"/>
        </w:rPr>
        <w:t>ly in Southern California. ORA proactively worked with other consumer groups to reach a partial settlement agreement with Frontier</w:t>
      </w:r>
      <w:r>
        <w:rPr>
          <w:rFonts w:ascii="Arial" w:hAnsi="Arial" w:cs="Arial"/>
          <w:color w:val="000000" w:themeColor="text1"/>
          <w:sz w:val="20"/>
          <w:szCs w:val="20"/>
        </w:rPr>
        <w:t>. The agreement will</w:t>
      </w:r>
      <w:r w:rsidRPr="002C533A">
        <w:rPr>
          <w:rFonts w:ascii="Arial" w:hAnsi="Arial" w:cs="Arial"/>
          <w:color w:val="000000" w:themeColor="text1"/>
          <w:sz w:val="20"/>
          <w:szCs w:val="20"/>
        </w:rPr>
        <w:t xml:space="preserve"> expand </w:t>
      </w:r>
      <w:r w:rsidR="001C0C2B">
        <w:rPr>
          <w:rFonts w:ascii="Arial" w:hAnsi="Arial" w:cs="Arial"/>
          <w:color w:val="000000" w:themeColor="text1"/>
          <w:sz w:val="20"/>
          <w:szCs w:val="20"/>
        </w:rPr>
        <w:t>and</w:t>
      </w:r>
      <w:r w:rsidRPr="002C533A">
        <w:rPr>
          <w:rFonts w:ascii="Arial" w:hAnsi="Arial" w:cs="Arial"/>
          <w:color w:val="000000" w:themeColor="text1"/>
          <w:sz w:val="20"/>
          <w:szCs w:val="20"/>
        </w:rPr>
        <w:t xml:space="preserve"> improve broadband services to more than 827,000 househol</w:t>
      </w:r>
      <w:r w:rsidR="001C0C2B">
        <w:rPr>
          <w:rFonts w:ascii="Arial" w:hAnsi="Arial" w:cs="Arial"/>
          <w:color w:val="000000" w:themeColor="text1"/>
          <w:sz w:val="20"/>
          <w:szCs w:val="20"/>
        </w:rPr>
        <w:t>ds, offer broadband service to L</w:t>
      </w:r>
      <w:r w:rsidRPr="002C533A">
        <w:rPr>
          <w:rFonts w:ascii="Arial" w:hAnsi="Arial" w:cs="Arial"/>
          <w:color w:val="000000" w:themeColor="text1"/>
          <w:sz w:val="20"/>
          <w:szCs w:val="20"/>
        </w:rPr>
        <w:t xml:space="preserve">ifeline customers for $13.99 per month, cap current rates for residential Verizon telephone service, and meet certain service quality standards. The CPUC adopted this agreement. </w:t>
      </w:r>
    </w:p>
    <w:p w:rsidR="008A2BF2" w:rsidRPr="00762190" w:rsidRDefault="008A2BF2" w:rsidP="00F041DF">
      <w:pPr>
        <w:pStyle w:val="GreyHeading2StyleGroup1"/>
        <w:spacing w:line="240" w:lineRule="auto"/>
        <w:jc w:val="left"/>
        <w:rPr>
          <w:rFonts w:ascii="Arial Black" w:hAnsi="Arial Black"/>
        </w:rPr>
      </w:pPr>
      <w:r w:rsidRPr="00762190">
        <w:rPr>
          <w:rFonts w:ascii="Arial Black" w:hAnsi="Arial Black"/>
        </w:rPr>
        <w:t>Charter-Time Warner Cable Sale and Transfer</w:t>
      </w:r>
    </w:p>
    <w:p w:rsidR="00050DB1" w:rsidRPr="002C533A" w:rsidRDefault="008A2BF2" w:rsidP="00050DB1">
      <w:pPr>
        <w:pStyle w:val="NormalWeb"/>
        <w:spacing w:after="120" w:line="288" w:lineRule="auto"/>
        <w:ind w:firstLine="720"/>
        <w:jc w:val="both"/>
        <w:rPr>
          <w:rFonts w:ascii="Arial" w:hAnsi="Arial" w:cs="Arial"/>
          <w:sz w:val="20"/>
          <w:szCs w:val="20"/>
        </w:rPr>
      </w:pPr>
      <w:r w:rsidRPr="002C533A">
        <w:rPr>
          <w:rFonts w:ascii="Arial" w:hAnsi="Arial" w:cs="Arial"/>
          <w:bCs/>
          <w:sz w:val="20"/>
          <w:szCs w:val="20"/>
        </w:rPr>
        <w:t>The proposed sale and transfer of Time Warner Cable</w:t>
      </w:r>
      <w:r w:rsidRPr="002C533A">
        <w:rPr>
          <w:rFonts w:ascii="Arial" w:hAnsi="Arial" w:cs="Arial"/>
          <w:sz w:val="20"/>
          <w:szCs w:val="20"/>
        </w:rPr>
        <w:t xml:space="preserve"> and </w:t>
      </w:r>
      <w:r w:rsidRPr="002C533A">
        <w:rPr>
          <w:rFonts w:ascii="Arial" w:hAnsi="Arial" w:cs="Arial"/>
          <w:bCs/>
          <w:sz w:val="20"/>
          <w:szCs w:val="20"/>
        </w:rPr>
        <w:t>Bright House to Charter Communications would impact 6.4</w:t>
      </w:r>
      <w:r>
        <w:rPr>
          <w:rFonts w:ascii="Arial" w:hAnsi="Arial" w:cs="Arial"/>
          <w:bCs/>
          <w:sz w:val="20"/>
          <w:szCs w:val="20"/>
        </w:rPr>
        <w:t xml:space="preserve"> million households, </w:t>
      </w:r>
      <w:r w:rsidR="00EF436B">
        <w:rPr>
          <w:rFonts w:ascii="Arial" w:hAnsi="Arial" w:cs="Arial"/>
          <w:bCs/>
          <w:sz w:val="20"/>
          <w:szCs w:val="20"/>
        </w:rPr>
        <w:br/>
      </w:r>
      <w:r w:rsidR="00EF436B">
        <w:rPr>
          <w:rFonts w:ascii="Arial" w:hAnsi="Arial" w:cs="Arial"/>
          <w:bCs/>
          <w:sz w:val="20"/>
          <w:szCs w:val="20"/>
        </w:rPr>
        <w:lastRenderedPageBreak/>
        <w:br/>
      </w:r>
      <w:r>
        <w:rPr>
          <w:rFonts w:ascii="Arial" w:hAnsi="Arial" w:cs="Arial"/>
          <w:bCs/>
          <w:sz w:val="20"/>
          <w:szCs w:val="20"/>
        </w:rPr>
        <w:t>primarily</w:t>
      </w:r>
      <w:r w:rsidRPr="002C533A">
        <w:rPr>
          <w:rFonts w:ascii="Arial" w:hAnsi="Arial" w:cs="Arial"/>
          <w:bCs/>
          <w:sz w:val="20"/>
          <w:szCs w:val="20"/>
        </w:rPr>
        <w:t xml:space="preserve"> in Southern California. If approved, the combined companies would become one of the largest providers of broadband Internet access service in California. </w:t>
      </w:r>
      <w:r w:rsidRPr="002C533A">
        <w:rPr>
          <w:rFonts w:ascii="Arial" w:hAnsi="Arial" w:cs="Arial"/>
          <w:sz w:val="20"/>
          <w:szCs w:val="20"/>
        </w:rPr>
        <w:t>ORA’s preliminary review found that the proposed transaction is not in the public interest and would likely reduce competition and consumer choice</w:t>
      </w:r>
      <w:r w:rsidR="009F1BD9">
        <w:rPr>
          <w:rFonts w:ascii="Arial" w:hAnsi="Arial" w:cs="Arial"/>
          <w:sz w:val="20"/>
          <w:szCs w:val="20"/>
        </w:rPr>
        <w:br/>
      </w:r>
      <w:r w:rsidRPr="002C533A">
        <w:rPr>
          <w:rFonts w:ascii="Arial" w:hAnsi="Arial" w:cs="Arial"/>
          <w:sz w:val="20"/>
          <w:szCs w:val="20"/>
        </w:rPr>
        <w:t xml:space="preserve">in both the markets for telephone and broadband Internet access services. </w:t>
      </w:r>
    </w:p>
    <w:p w:rsidR="00D453E7" w:rsidRDefault="001C0C2B" w:rsidP="00EF436B">
      <w:pPr>
        <w:pStyle w:val="NormalWeb"/>
        <w:tabs>
          <w:tab w:val="left" w:pos="1170"/>
        </w:tabs>
        <w:spacing w:after="240" w:line="288" w:lineRule="auto"/>
        <w:ind w:firstLine="720"/>
        <w:jc w:val="both"/>
        <w:rPr>
          <w:rFonts w:ascii="Arial" w:hAnsi="Arial" w:cs="Arial"/>
          <w:sz w:val="20"/>
          <w:szCs w:val="20"/>
        </w:rPr>
      </w:pPr>
      <w:r>
        <w:rPr>
          <w:rFonts w:ascii="Arial" w:hAnsi="Arial" w:cs="Arial"/>
          <w:sz w:val="20"/>
          <w:szCs w:val="20"/>
        </w:rPr>
        <w:t xml:space="preserve">In 2016, </w:t>
      </w:r>
      <w:r w:rsidR="008A2BF2" w:rsidRPr="002C533A">
        <w:rPr>
          <w:rFonts w:ascii="Arial" w:hAnsi="Arial" w:cs="Arial"/>
          <w:sz w:val="20"/>
          <w:szCs w:val="20"/>
        </w:rPr>
        <w:t xml:space="preserve">ORA will continue to contribute to the CPUC’s record on this sale and transfer to </w:t>
      </w:r>
      <w:r w:rsidR="008A2BF2">
        <w:rPr>
          <w:rFonts w:ascii="Arial" w:hAnsi="Arial" w:cs="Arial"/>
          <w:sz w:val="20"/>
          <w:szCs w:val="20"/>
        </w:rPr>
        <w:t>advocate</w:t>
      </w:r>
      <w:r w:rsidR="008A2BF2" w:rsidRPr="002C533A">
        <w:rPr>
          <w:rFonts w:ascii="Arial" w:hAnsi="Arial" w:cs="Arial"/>
          <w:sz w:val="20"/>
          <w:szCs w:val="20"/>
        </w:rPr>
        <w:t xml:space="preserve"> that this merger does not diminish reliability, public safety, </w:t>
      </w:r>
      <w:r w:rsidR="003057FC">
        <w:rPr>
          <w:rFonts w:ascii="Arial" w:hAnsi="Arial" w:cs="Arial"/>
          <w:sz w:val="20"/>
          <w:szCs w:val="20"/>
        </w:rPr>
        <w:t xml:space="preserve">competition, </w:t>
      </w:r>
      <w:r w:rsidR="008A2BF2" w:rsidRPr="002C533A">
        <w:rPr>
          <w:rFonts w:ascii="Arial" w:hAnsi="Arial" w:cs="Arial"/>
          <w:sz w:val="20"/>
          <w:szCs w:val="20"/>
        </w:rPr>
        <w:t xml:space="preserve">or deployment of advanced </w:t>
      </w:r>
      <w:r w:rsidR="00525AB6">
        <w:rPr>
          <w:rFonts w:ascii="Arial" w:hAnsi="Arial" w:cs="Arial"/>
          <w:sz w:val="20"/>
          <w:szCs w:val="20"/>
        </w:rPr>
        <w:br/>
      </w:r>
      <w:r>
        <w:rPr>
          <w:rFonts w:ascii="Arial" w:hAnsi="Arial" w:cs="Arial"/>
          <w:sz w:val="20"/>
          <w:szCs w:val="20"/>
        </w:rPr>
        <w:t xml:space="preserve">communications. </w:t>
      </w:r>
      <w:r w:rsidR="008A2BF2" w:rsidRPr="002C533A">
        <w:rPr>
          <w:rFonts w:ascii="Arial" w:hAnsi="Arial" w:cs="Arial"/>
          <w:sz w:val="20"/>
          <w:szCs w:val="20"/>
        </w:rPr>
        <w:t xml:space="preserve">ORA also recommends the cable companies </w:t>
      </w:r>
      <w:r>
        <w:rPr>
          <w:rFonts w:ascii="Arial" w:hAnsi="Arial" w:cs="Arial"/>
          <w:sz w:val="20"/>
          <w:szCs w:val="20"/>
        </w:rPr>
        <w:t xml:space="preserve">should </w:t>
      </w:r>
      <w:r w:rsidR="008A2BF2" w:rsidRPr="002C533A">
        <w:rPr>
          <w:rFonts w:ascii="Arial" w:hAnsi="Arial" w:cs="Arial"/>
          <w:sz w:val="20"/>
          <w:szCs w:val="20"/>
        </w:rPr>
        <w:t>provide sufficient detail to demonstrate that this merger would be in the public interest</w:t>
      </w:r>
      <w:r w:rsidR="008A2BF2">
        <w:rPr>
          <w:rFonts w:ascii="Arial" w:hAnsi="Arial" w:cs="Arial"/>
          <w:sz w:val="20"/>
          <w:szCs w:val="20"/>
        </w:rPr>
        <w:t>. The CPUC should hold</w:t>
      </w:r>
      <w:r w:rsidR="008A2BF2" w:rsidRPr="002C533A">
        <w:rPr>
          <w:rFonts w:ascii="Arial" w:hAnsi="Arial" w:cs="Arial"/>
          <w:sz w:val="20"/>
          <w:szCs w:val="20"/>
        </w:rPr>
        <w:t xml:space="preserve"> hearings throughout the </w:t>
      </w:r>
      <w:r>
        <w:rPr>
          <w:rFonts w:ascii="Arial" w:hAnsi="Arial" w:cs="Arial"/>
          <w:sz w:val="20"/>
          <w:szCs w:val="20"/>
        </w:rPr>
        <w:t xml:space="preserve">companies’ </w:t>
      </w:r>
      <w:r w:rsidR="008A2BF2" w:rsidRPr="002C533A">
        <w:rPr>
          <w:rFonts w:ascii="Arial" w:hAnsi="Arial" w:cs="Arial"/>
          <w:sz w:val="20"/>
          <w:szCs w:val="20"/>
        </w:rPr>
        <w:t>combined service terr</w:t>
      </w:r>
      <w:r w:rsidR="00050DB1">
        <w:rPr>
          <w:rFonts w:ascii="Arial" w:hAnsi="Arial" w:cs="Arial"/>
          <w:sz w:val="20"/>
          <w:szCs w:val="20"/>
        </w:rPr>
        <w:t>itories to gather public input.</w:t>
      </w:r>
    </w:p>
    <w:p w:rsidR="00050DB1" w:rsidRPr="00050DB1" w:rsidRDefault="00050DB1" w:rsidP="00050DB1">
      <w:pPr>
        <w:pStyle w:val="NormalWeb"/>
        <w:tabs>
          <w:tab w:val="left" w:pos="1170"/>
        </w:tabs>
        <w:spacing w:after="120" w:line="288" w:lineRule="auto"/>
        <w:ind w:firstLine="720"/>
        <w:jc w:val="both"/>
        <w:rPr>
          <w:rFonts w:ascii="Arial" w:hAnsi="Arial" w:cs="Arial"/>
          <w:sz w:val="20"/>
          <w:szCs w:val="20"/>
        </w:rPr>
      </w:pPr>
    </w:p>
    <w:p w:rsidR="008A2BF2" w:rsidRPr="00746962" w:rsidRDefault="008A2BF2" w:rsidP="008A2BF2">
      <w:pPr>
        <w:pStyle w:val="BodyTextNoIndent"/>
        <w:spacing w:line="288" w:lineRule="auto"/>
        <w:rPr>
          <w:rFonts w:ascii="Arial Black" w:hAnsi="Arial Black"/>
          <w:b/>
          <w:color w:val="4F81BD" w:themeColor="accent1"/>
          <w:sz w:val="22"/>
        </w:rPr>
      </w:pPr>
      <w:r w:rsidRPr="00746962">
        <w:rPr>
          <w:rFonts w:ascii="Arial Black" w:hAnsi="Arial Black"/>
          <w:b/>
          <w:color w:val="4F81BD" w:themeColor="accent1"/>
          <w:sz w:val="22"/>
        </w:rPr>
        <w:t>Small Telephone Company Rate Cases</w:t>
      </w:r>
    </w:p>
    <w:p w:rsidR="008A2BF2" w:rsidRPr="00746962" w:rsidRDefault="008A2BF2" w:rsidP="008A2BF2">
      <w:pPr>
        <w:pStyle w:val="BodyTextNoIndent"/>
        <w:spacing w:line="288" w:lineRule="auto"/>
        <w:rPr>
          <w:rFonts w:ascii="Arial Black" w:hAnsi="Arial Black"/>
          <w:b/>
        </w:rPr>
      </w:pPr>
      <w:r w:rsidRPr="00746962">
        <w:rPr>
          <w:rFonts w:ascii="Arial Black" w:hAnsi="Arial Black"/>
          <w:b/>
        </w:rPr>
        <w:t>Rate Case Plan</w:t>
      </w:r>
    </w:p>
    <w:p w:rsidR="001C0C2B" w:rsidRPr="00F14661" w:rsidRDefault="008A2BF2" w:rsidP="00F14661">
      <w:pPr>
        <w:pStyle w:val="NormalWeb"/>
        <w:spacing w:after="240" w:line="288" w:lineRule="auto"/>
        <w:ind w:firstLine="720"/>
        <w:jc w:val="both"/>
        <w:rPr>
          <w:rFonts w:ascii="Arial" w:hAnsi="Arial" w:cs="Arial"/>
          <w:sz w:val="20"/>
          <w:szCs w:val="20"/>
        </w:rPr>
      </w:pPr>
      <w:r w:rsidRPr="002C533A">
        <w:rPr>
          <w:rFonts w:ascii="Arial" w:hAnsi="Arial" w:cs="Arial"/>
          <w:sz w:val="20"/>
          <w:szCs w:val="20"/>
        </w:rPr>
        <w:t xml:space="preserve">In 2015, the CPUC embarked on a new procedural process to review rate cases for small telephone companies. Small telephone carriers in California that receive a subsidy to aid affordability for rural, high-cost areas must receive CPUC approval in order to increase customer rates. ORA supports such assistance as </w:t>
      </w:r>
      <w:r w:rsidR="001C0C2B">
        <w:rPr>
          <w:rFonts w:ascii="Arial" w:hAnsi="Arial" w:cs="Arial"/>
          <w:sz w:val="20"/>
          <w:szCs w:val="20"/>
        </w:rPr>
        <w:t xml:space="preserve">part of the </w:t>
      </w:r>
      <w:r w:rsidRPr="002C533A">
        <w:rPr>
          <w:rFonts w:ascii="Arial" w:hAnsi="Arial" w:cs="Arial"/>
          <w:sz w:val="20"/>
          <w:szCs w:val="20"/>
        </w:rPr>
        <w:t>basic concept that telephone service should be affordable and ubiquitously available. Based on its extensive experience in rate cases, ORA participated in shaping a Rate Case Plan that supports the Governor’s di</w:t>
      </w:r>
      <w:r>
        <w:rPr>
          <w:rFonts w:ascii="Arial" w:hAnsi="Arial" w:cs="Arial"/>
          <w:sz w:val="20"/>
          <w:szCs w:val="20"/>
        </w:rPr>
        <w:t>rective to process these cases i</w:t>
      </w:r>
      <w:r w:rsidRPr="002C533A">
        <w:rPr>
          <w:rFonts w:ascii="Arial" w:hAnsi="Arial" w:cs="Arial"/>
          <w:sz w:val="20"/>
          <w:szCs w:val="20"/>
        </w:rPr>
        <w:t xml:space="preserve">n a timely </w:t>
      </w:r>
      <w:r>
        <w:rPr>
          <w:rFonts w:ascii="Arial" w:hAnsi="Arial" w:cs="Arial"/>
          <w:sz w:val="20"/>
          <w:szCs w:val="20"/>
        </w:rPr>
        <w:t>manner</w:t>
      </w:r>
      <w:r w:rsidRPr="002C533A">
        <w:rPr>
          <w:rFonts w:ascii="Arial" w:hAnsi="Arial" w:cs="Arial"/>
          <w:sz w:val="20"/>
          <w:szCs w:val="20"/>
        </w:rPr>
        <w:t>. The CPUC’s adopted plan to review a company’s rates every three years is largely consistent with ORA’s recommendations</w:t>
      </w:r>
      <w:r>
        <w:rPr>
          <w:rFonts w:ascii="Arial" w:hAnsi="Arial" w:cs="Arial"/>
          <w:sz w:val="20"/>
          <w:szCs w:val="20"/>
        </w:rPr>
        <w:t xml:space="preserve">, including </w:t>
      </w:r>
      <w:r w:rsidRPr="002C533A">
        <w:rPr>
          <w:rFonts w:ascii="Arial" w:hAnsi="Arial" w:cs="Arial"/>
          <w:sz w:val="20"/>
          <w:szCs w:val="20"/>
        </w:rPr>
        <w:t>requir</w:t>
      </w:r>
      <w:r>
        <w:rPr>
          <w:rFonts w:ascii="Arial" w:hAnsi="Arial" w:cs="Arial"/>
          <w:sz w:val="20"/>
          <w:szCs w:val="20"/>
        </w:rPr>
        <w:t>ing</w:t>
      </w:r>
      <w:r w:rsidRPr="002C533A">
        <w:rPr>
          <w:rFonts w:ascii="Arial" w:hAnsi="Arial" w:cs="Arial"/>
          <w:sz w:val="20"/>
          <w:szCs w:val="20"/>
        </w:rPr>
        <w:t xml:space="preserve"> telephone companies to adhere to a list of minimum data requirements.</w:t>
      </w:r>
    </w:p>
    <w:p w:rsidR="008A2BF2" w:rsidRPr="00707402" w:rsidRDefault="008A2BF2" w:rsidP="008A2BF2">
      <w:pPr>
        <w:pStyle w:val="NormalWeb"/>
        <w:spacing w:after="120" w:line="288" w:lineRule="auto"/>
        <w:jc w:val="both"/>
        <w:rPr>
          <w:rFonts w:ascii="Arial Black" w:hAnsi="Arial Black" w:cs="Arial"/>
          <w:b/>
          <w:sz w:val="20"/>
          <w:szCs w:val="20"/>
        </w:rPr>
      </w:pPr>
      <w:r w:rsidRPr="00707402">
        <w:rPr>
          <w:rFonts w:ascii="Arial Black" w:hAnsi="Arial Black" w:cs="Arial"/>
          <w:b/>
          <w:sz w:val="20"/>
          <w:szCs w:val="20"/>
        </w:rPr>
        <w:t>Cost of Capital</w:t>
      </w:r>
    </w:p>
    <w:p w:rsidR="001C0C2B" w:rsidRDefault="008A2BF2" w:rsidP="00F041DF">
      <w:pPr>
        <w:pStyle w:val="NormalWeb"/>
        <w:spacing w:after="120" w:line="288" w:lineRule="auto"/>
        <w:ind w:firstLine="720"/>
        <w:jc w:val="both"/>
        <w:rPr>
          <w:rFonts w:ascii="Arial" w:hAnsi="Arial" w:cs="Arial"/>
          <w:sz w:val="20"/>
          <w:szCs w:val="20"/>
        </w:rPr>
      </w:pPr>
      <w:r w:rsidRPr="002C533A">
        <w:rPr>
          <w:rFonts w:ascii="Arial" w:hAnsi="Arial" w:cs="Arial"/>
          <w:sz w:val="20"/>
          <w:szCs w:val="20"/>
        </w:rPr>
        <w:t xml:space="preserve">ORA persuaded the CPUC to adopt its proposal to first determine telephone companies’ rates of return prior to commencing rate case review, which will promote increased efficiency in the rate case process. ORA is currently analyzing the telephone companies’ proposals that focus on three components </w:t>
      </w:r>
      <w:r w:rsidR="00EF436B">
        <w:rPr>
          <w:rFonts w:ascii="Arial" w:hAnsi="Arial" w:cs="Arial"/>
          <w:sz w:val="20"/>
          <w:szCs w:val="20"/>
        </w:rPr>
        <w:br/>
      </w:r>
      <w:r w:rsidR="00EF436B">
        <w:rPr>
          <w:rFonts w:ascii="Arial" w:hAnsi="Arial" w:cs="Arial"/>
          <w:sz w:val="20"/>
          <w:szCs w:val="20"/>
        </w:rPr>
        <w:lastRenderedPageBreak/>
        <w:br/>
      </w:r>
      <w:r w:rsidRPr="002C533A">
        <w:rPr>
          <w:rFonts w:ascii="Arial" w:hAnsi="Arial" w:cs="Arial"/>
          <w:sz w:val="20"/>
          <w:szCs w:val="20"/>
        </w:rPr>
        <w:t xml:space="preserve">that will determine Cost of Capital:  Return on Equity, Debt-to-Equity Ratio, and Debt Cost. From these three elements, the Weighted Average Cost of Capital is derived. </w:t>
      </w:r>
    </w:p>
    <w:p w:rsidR="005516E1" w:rsidRDefault="008A2BF2" w:rsidP="00F14661">
      <w:pPr>
        <w:pStyle w:val="NormalWeb"/>
        <w:spacing w:after="240" w:line="288" w:lineRule="auto"/>
        <w:ind w:firstLine="720"/>
        <w:jc w:val="both"/>
        <w:rPr>
          <w:rFonts w:ascii="Arial" w:hAnsi="Arial" w:cs="Arial"/>
          <w:sz w:val="20"/>
          <w:szCs w:val="20"/>
        </w:rPr>
      </w:pPr>
      <w:r w:rsidRPr="002C533A">
        <w:rPr>
          <w:rFonts w:ascii="Arial" w:hAnsi="Arial" w:cs="Arial"/>
          <w:sz w:val="20"/>
          <w:szCs w:val="20"/>
        </w:rPr>
        <w:t>Ten small carriers jointly filed an application requesting the CPUC approve an 18.50% Return on Equity, a 30</w:t>
      </w:r>
      <w:r w:rsidR="00E71561">
        <w:rPr>
          <w:rFonts w:ascii="Arial" w:hAnsi="Arial" w:cs="Arial"/>
          <w:sz w:val="20"/>
          <w:szCs w:val="20"/>
        </w:rPr>
        <w:t xml:space="preserve"> </w:t>
      </w:r>
      <w:r w:rsidRPr="002C533A">
        <w:rPr>
          <w:rFonts w:ascii="Arial" w:hAnsi="Arial" w:cs="Arial"/>
          <w:sz w:val="20"/>
          <w:szCs w:val="20"/>
        </w:rPr>
        <w:t>/</w:t>
      </w:r>
      <w:r w:rsidR="00E71561">
        <w:rPr>
          <w:rFonts w:ascii="Arial" w:hAnsi="Arial" w:cs="Arial"/>
          <w:sz w:val="20"/>
          <w:szCs w:val="20"/>
        </w:rPr>
        <w:t xml:space="preserve"> </w:t>
      </w:r>
      <w:r w:rsidRPr="002C533A">
        <w:rPr>
          <w:rFonts w:ascii="Arial" w:hAnsi="Arial" w:cs="Arial"/>
          <w:sz w:val="20"/>
          <w:szCs w:val="20"/>
        </w:rPr>
        <w:t xml:space="preserve">70 percent Debt-to-Equity Ratio, and Debt Cost to be determined on an individual company basis. Alternatively, the small carriers propose a uniform Weighted Average Cost of Capital of </w:t>
      </w:r>
      <w:r w:rsidR="00E71561">
        <w:rPr>
          <w:rFonts w:ascii="Arial" w:hAnsi="Arial" w:cs="Arial"/>
          <w:sz w:val="20"/>
          <w:szCs w:val="20"/>
        </w:rPr>
        <w:t>14.6 percent (an increase from its current 10%</w:t>
      </w:r>
      <w:r w:rsidRPr="002C533A">
        <w:rPr>
          <w:rFonts w:ascii="Arial" w:hAnsi="Arial" w:cs="Arial"/>
          <w:sz w:val="20"/>
          <w:szCs w:val="20"/>
        </w:rPr>
        <w:t xml:space="preserve">) that would apply to all companies. ORA expects to issue its recommendations in early 2016. </w:t>
      </w:r>
    </w:p>
    <w:p w:rsidR="00050DB1" w:rsidRDefault="008A2BF2" w:rsidP="005516E1">
      <w:pPr>
        <w:pStyle w:val="NormalWeb"/>
        <w:spacing w:after="120"/>
        <w:rPr>
          <w:rFonts w:ascii="Arial" w:hAnsi="Arial" w:cs="Arial"/>
          <w:sz w:val="20"/>
          <w:szCs w:val="20"/>
        </w:rPr>
      </w:pPr>
      <w:r w:rsidRPr="00F041DF">
        <w:rPr>
          <w:rFonts w:ascii="Arial Black" w:hAnsi="Arial Black"/>
          <w:b/>
          <w:sz w:val="20"/>
          <w:szCs w:val="20"/>
        </w:rPr>
        <w:t>Kerman Telephone Company – General Rate Case</w:t>
      </w:r>
    </w:p>
    <w:p w:rsidR="001C0C2B" w:rsidRDefault="008A2BF2" w:rsidP="00F14661">
      <w:pPr>
        <w:spacing w:after="120" w:line="288" w:lineRule="auto"/>
        <w:ind w:firstLine="720"/>
        <w:jc w:val="both"/>
        <w:rPr>
          <w:rFonts w:ascii="Arial" w:hAnsi="Arial" w:cs="Arial"/>
          <w:sz w:val="20"/>
          <w:szCs w:val="20"/>
        </w:rPr>
      </w:pPr>
      <w:r w:rsidRPr="002C533A">
        <w:rPr>
          <w:rFonts w:ascii="Arial" w:hAnsi="Arial" w:cs="Arial"/>
          <w:sz w:val="20"/>
          <w:szCs w:val="20"/>
        </w:rPr>
        <w:t xml:space="preserve">ORA reviewed Kerman’s request for a $6 million subsidy and a Weighted Average Cost of Capital of 13.63% applied to its ratebase (an increase from its current 10%). </w:t>
      </w:r>
      <w:r w:rsidR="001C0C2B" w:rsidRPr="00AE63CA">
        <w:rPr>
          <w:rFonts w:ascii="Arial" w:hAnsi="Arial" w:cs="Arial"/>
          <w:sz w:val="20"/>
          <w:szCs w:val="20"/>
        </w:rPr>
        <w:t>Kerman’s rate case had been submitted to the CPUC prior to the commencement of the Cost of Capital proceeding. Therefore its Cost of Capital requests will be consider</w:t>
      </w:r>
      <w:r w:rsidR="00AE63CA" w:rsidRPr="00AE63CA">
        <w:rPr>
          <w:rFonts w:ascii="Arial" w:hAnsi="Arial" w:cs="Arial"/>
          <w:sz w:val="20"/>
          <w:szCs w:val="20"/>
        </w:rPr>
        <w:t>ed in its rate case proceeding.</w:t>
      </w:r>
      <w:r w:rsidR="00AE63CA">
        <w:rPr>
          <w:rFonts w:ascii="Arial" w:hAnsi="Arial" w:cs="Arial"/>
          <w:sz w:val="20"/>
          <w:szCs w:val="20"/>
        </w:rPr>
        <w:t xml:space="preserve"> </w:t>
      </w:r>
      <w:r w:rsidR="00AE63CA" w:rsidRPr="00367E89">
        <w:rPr>
          <w:rFonts w:ascii="Arial" w:hAnsi="Arial" w:cs="Arial"/>
          <w:sz w:val="20"/>
          <w:szCs w:val="20"/>
        </w:rPr>
        <w:t>ORA does not support Kerman’s request to apply the results of</w:t>
      </w:r>
      <w:r w:rsidR="00AE63CA">
        <w:rPr>
          <w:rFonts w:ascii="Arial" w:hAnsi="Arial" w:cs="Arial"/>
          <w:sz w:val="20"/>
          <w:szCs w:val="20"/>
        </w:rPr>
        <w:t xml:space="preserve"> the</w:t>
      </w:r>
      <w:r w:rsidR="00AE63CA" w:rsidRPr="00367E89">
        <w:rPr>
          <w:rFonts w:ascii="Arial" w:hAnsi="Arial" w:cs="Arial"/>
          <w:sz w:val="20"/>
          <w:szCs w:val="20"/>
        </w:rPr>
        <w:t xml:space="preserve"> Cost of Capital proceeding, given that the CPUC had already ruled that it would consider Kerman’s Cost of Capital separately</w:t>
      </w:r>
      <w:r w:rsidR="00AE63CA">
        <w:rPr>
          <w:rFonts w:ascii="Arial" w:hAnsi="Arial" w:cs="Arial"/>
          <w:sz w:val="20"/>
          <w:szCs w:val="20"/>
        </w:rPr>
        <w:t xml:space="preserve"> in its general rate case</w:t>
      </w:r>
      <w:r w:rsidR="00AE63CA" w:rsidRPr="00367E89">
        <w:rPr>
          <w:rFonts w:ascii="Arial" w:hAnsi="Arial" w:cs="Arial"/>
          <w:sz w:val="20"/>
          <w:szCs w:val="20"/>
        </w:rPr>
        <w:t xml:space="preserve">, </w:t>
      </w:r>
      <w:r w:rsidR="00AE63CA">
        <w:rPr>
          <w:rFonts w:ascii="Arial" w:hAnsi="Arial" w:cs="Arial"/>
          <w:sz w:val="20"/>
          <w:szCs w:val="20"/>
        </w:rPr>
        <w:t xml:space="preserve">where this issue </w:t>
      </w:r>
      <w:r w:rsidR="00AE63CA" w:rsidRPr="00367E89">
        <w:rPr>
          <w:rFonts w:ascii="Arial" w:hAnsi="Arial" w:cs="Arial"/>
          <w:sz w:val="20"/>
          <w:szCs w:val="20"/>
        </w:rPr>
        <w:t>has already been litigated.</w:t>
      </w:r>
    </w:p>
    <w:p w:rsidR="009F1BD9" w:rsidRDefault="008A2BF2" w:rsidP="00050DB1">
      <w:pPr>
        <w:pStyle w:val="NormalWeb"/>
        <w:spacing w:after="120" w:line="288" w:lineRule="auto"/>
        <w:ind w:firstLine="720"/>
        <w:jc w:val="both"/>
        <w:rPr>
          <w:rFonts w:ascii="Arial" w:hAnsi="Arial" w:cs="Arial"/>
          <w:sz w:val="20"/>
          <w:szCs w:val="20"/>
        </w:rPr>
      </w:pPr>
      <w:r w:rsidRPr="002C533A">
        <w:rPr>
          <w:rFonts w:ascii="Arial" w:hAnsi="Arial" w:cs="Arial"/>
          <w:sz w:val="20"/>
          <w:szCs w:val="20"/>
        </w:rPr>
        <w:t>ORA’s review seeks to ensure that Kerman’s request complies with providing safe and reliable telephone service at the lowest rates</w:t>
      </w:r>
      <w:r>
        <w:rPr>
          <w:rFonts w:ascii="Arial" w:hAnsi="Arial" w:cs="Arial"/>
          <w:sz w:val="20"/>
          <w:szCs w:val="20"/>
        </w:rPr>
        <w:t>.</w:t>
      </w:r>
      <w:r w:rsidRPr="002C533A">
        <w:rPr>
          <w:rFonts w:ascii="Arial" w:hAnsi="Arial" w:cs="Arial"/>
          <w:sz w:val="20"/>
          <w:szCs w:val="20"/>
        </w:rPr>
        <w:t xml:space="preserve"> </w:t>
      </w:r>
      <w:r>
        <w:rPr>
          <w:rFonts w:ascii="Arial" w:hAnsi="Arial" w:cs="Arial"/>
          <w:sz w:val="20"/>
          <w:szCs w:val="20"/>
        </w:rPr>
        <w:t>T</w:t>
      </w:r>
      <w:r w:rsidRPr="002C533A">
        <w:rPr>
          <w:rFonts w:ascii="Arial" w:hAnsi="Arial" w:cs="Arial"/>
          <w:sz w:val="20"/>
          <w:szCs w:val="20"/>
        </w:rPr>
        <w:t xml:space="preserve">he subsidy </w:t>
      </w:r>
      <w:r>
        <w:rPr>
          <w:rFonts w:ascii="Arial" w:hAnsi="Arial" w:cs="Arial"/>
          <w:sz w:val="20"/>
          <w:szCs w:val="20"/>
        </w:rPr>
        <w:t>should</w:t>
      </w:r>
      <w:r w:rsidRPr="002C533A">
        <w:rPr>
          <w:rFonts w:ascii="Arial" w:hAnsi="Arial" w:cs="Arial"/>
          <w:sz w:val="20"/>
          <w:szCs w:val="20"/>
        </w:rPr>
        <w:t xml:space="preserve"> not </w:t>
      </w:r>
      <w:r>
        <w:rPr>
          <w:rFonts w:ascii="Arial" w:hAnsi="Arial" w:cs="Arial"/>
          <w:sz w:val="20"/>
          <w:szCs w:val="20"/>
        </w:rPr>
        <w:t xml:space="preserve">be </w:t>
      </w:r>
      <w:r w:rsidRPr="002C533A">
        <w:rPr>
          <w:rFonts w:ascii="Arial" w:hAnsi="Arial" w:cs="Arial"/>
          <w:sz w:val="20"/>
          <w:szCs w:val="20"/>
        </w:rPr>
        <w:t>excessive, in order to keep telephone service affordable for all Californians. ORA’s in-depth analysis determined that Kerman has over-estimated its need</w:t>
      </w:r>
      <w:r>
        <w:rPr>
          <w:rFonts w:ascii="Arial" w:hAnsi="Arial" w:cs="Arial"/>
          <w:sz w:val="20"/>
          <w:szCs w:val="20"/>
        </w:rPr>
        <w:t>,</w:t>
      </w:r>
      <w:r w:rsidRPr="002C533A">
        <w:rPr>
          <w:rFonts w:ascii="Arial" w:hAnsi="Arial" w:cs="Arial"/>
          <w:sz w:val="20"/>
          <w:szCs w:val="20"/>
        </w:rPr>
        <w:t xml:space="preserve"> given that its corpo</w:t>
      </w:r>
      <w:r w:rsidR="00C227EF">
        <w:rPr>
          <w:rFonts w:ascii="Arial" w:hAnsi="Arial" w:cs="Arial"/>
          <w:sz w:val="20"/>
          <w:szCs w:val="20"/>
        </w:rPr>
        <w:t>rate expense request far exceeds</w:t>
      </w:r>
      <w:r w:rsidRPr="002C533A">
        <w:rPr>
          <w:rFonts w:ascii="Arial" w:hAnsi="Arial" w:cs="Arial"/>
          <w:sz w:val="20"/>
          <w:szCs w:val="20"/>
        </w:rPr>
        <w:t xml:space="preserve"> the Federal Communications Commission’s corporate expense cap, which the CPUC has adopted. The Weighted Average Cost of Capital proposed by Kerman </w:t>
      </w:r>
      <w:r>
        <w:rPr>
          <w:rFonts w:ascii="Arial" w:hAnsi="Arial" w:cs="Arial"/>
          <w:sz w:val="20"/>
          <w:szCs w:val="20"/>
        </w:rPr>
        <w:t>i</w:t>
      </w:r>
      <w:r w:rsidRPr="002C533A">
        <w:rPr>
          <w:rFonts w:ascii="Arial" w:hAnsi="Arial" w:cs="Arial"/>
          <w:sz w:val="20"/>
          <w:szCs w:val="20"/>
        </w:rPr>
        <w:t xml:space="preserve">s also too high relative to industry benchmarks. Therefore, ORA </w:t>
      </w:r>
      <w:r>
        <w:rPr>
          <w:rFonts w:ascii="Arial" w:hAnsi="Arial" w:cs="Arial"/>
          <w:sz w:val="20"/>
          <w:szCs w:val="20"/>
        </w:rPr>
        <w:t>recommends</w:t>
      </w:r>
      <w:r w:rsidRPr="002C533A">
        <w:rPr>
          <w:rFonts w:ascii="Arial" w:hAnsi="Arial" w:cs="Arial"/>
          <w:sz w:val="20"/>
          <w:szCs w:val="20"/>
        </w:rPr>
        <w:t xml:space="preserve"> that Kerman should receive about $1.9 million in subsidy from the California High Cost Fund A Program, with a Weighted Average Cost of Capital of 5.44% applied as a return on its ratebase, which will allow it to operate reliably and provide affordable service to its customers.</w:t>
      </w:r>
    </w:p>
    <w:p w:rsidR="00050DB1" w:rsidRPr="00050DB1" w:rsidRDefault="00050DB1" w:rsidP="00050DB1">
      <w:pPr>
        <w:pStyle w:val="NormalWeb"/>
        <w:spacing w:after="120" w:line="288" w:lineRule="auto"/>
        <w:ind w:firstLine="720"/>
        <w:jc w:val="both"/>
        <w:rPr>
          <w:rFonts w:ascii="Arial" w:hAnsi="Arial" w:cs="Arial"/>
          <w:sz w:val="20"/>
          <w:szCs w:val="20"/>
        </w:rPr>
      </w:pPr>
    </w:p>
    <w:p w:rsidR="00EF436B" w:rsidRPr="00EF436B" w:rsidRDefault="00EF436B" w:rsidP="00EF436B">
      <w:pPr>
        <w:pStyle w:val="GreyHeading2StyleGroup1"/>
        <w:spacing w:after="0" w:line="288" w:lineRule="auto"/>
        <w:rPr>
          <w:b w:val="0"/>
          <w:color w:val="4F81BD" w:themeColor="accent1"/>
          <w:sz w:val="22"/>
        </w:rPr>
      </w:pPr>
    </w:p>
    <w:p w:rsidR="00535566" w:rsidRDefault="00535566" w:rsidP="008A2BF2">
      <w:pPr>
        <w:pStyle w:val="GreyHeading2StyleGroup1"/>
        <w:spacing w:line="288" w:lineRule="auto"/>
        <w:rPr>
          <w:rFonts w:ascii="Arial Black" w:hAnsi="Arial Black"/>
          <w:color w:val="4F81BD" w:themeColor="accent1"/>
          <w:sz w:val="22"/>
        </w:rPr>
      </w:pPr>
      <w:r>
        <w:rPr>
          <w:rFonts w:ascii="Arial Black" w:hAnsi="Arial Black"/>
          <w:color w:val="4F81BD" w:themeColor="accent1"/>
          <w:sz w:val="22"/>
        </w:rPr>
        <w:t>Consumer Protection</w:t>
      </w:r>
    </w:p>
    <w:p w:rsidR="00535566" w:rsidRDefault="00535566" w:rsidP="008A2BF2">
      <w:pPr>
        <w:pStyle w:val="GreyHeading2StyleGroup1"/>
        <w:spacing w:line="288" w:lineRule="auto"/>
        <w:rPr>
          <w:rFonts w:ascii="Arial Black" w:hAnsi="Arial Black"/>
          <w:color w:val="auto"/>
        </w:rPr>
      </w:pPr>
      <w:r w:rsidRPr="00535566">
        <w:rPr>
          <w:rFonts w:ascii="Arial Black" w:hAnsi="Arial Black"/>
          <w:color w:val="auto"/>
        </w:rPr>
        <w:t>Competition</w:t>
      </w:r>
    </w:p>
    <w:p w:rsidR="002D6B09" w:rsidRDefault="00E75978" w:rsidP="008A2BF2">
      <w:pPr>
        <w:pStyle w:val="GreyHeading2StyleGroup1"/>
        <w:spacing w:line="288" w:lineRule="auto"/>
        <w:rPr>
          <w:rFonts w:ascii="Arial Black" w:hAnsi="Arial Black"/>
          <w:color w:val="auto"/>
        </w:rPr>
      </w:pPr>
      <w:r>
        <w:rPr>
          <w:b w:val="0"/>
          <w:color w:val="auto"/>
        </w:rPr>
        <w:t xml:space="preserve">ORA supports the </w:t>
      </w:r>
      <w:r w:rsidR="00535566" w:rsidRPr="00535566">
        <w:rPr>
          <w:b w:val="0"/>
          <w:color w:val="auto"/>
        </w:rPr>
        <w:t>CPUC</w:t>
      </w:r>
      <w:r>
        <w:rPr>
          <w:b w:val="0"/>
          <w:color w:val="auto"/>
        </w:rPr>
        <w:t>’s</w:t>
      </w:r>
      <w:r w:rsidR="00535566">
        <w:rPr>
          <w:b w:val="0"/>
          <w:color w:val="auto"/>
        </w:rPr>
        <w:t xml:space="preserve"> November 12, 2015 </w:t>
      </w:r>
      <w:r>
        <w:rPr>
          <w:b w:val="0"/>
          <w:color w:val="auto"/>
        </w:rPr>
        <w:t xml:space="preserve">action to </w:t>
      </w:r>
      <w:r w:rsidR="00535566">
        <w:rPr>
          <w:b w:val="0"/>
          <w:color w:val="auto"/>
        </w:rPr>
        <w:t>initiate an investigation t</w:t>
      </w:r>
      <w:r w:rsidR="00092FAA">
        <w:rPr>
          <w:b w:val="0"/>
          <w:color w:val="auto"/>
        </w:rPr>
        <w:t>hat will</w:t>
      </w:r>
      <w:r w:rsidR="00535566">
        <w:rPr>
          <w:b w:val="0"/>
          <w:color w:val="auto"/>
        </w:rPr>
        <w:t xml:space="preserve"> assess the</w:t>
      </w:r>
      <w:r w:rsidR="00AE09DE">
        <w:rPr>
          <w:b w:val="0"/>
          <w:color w:val="auto"/>
        </w:rPr>
        <w:t xml:space="preserve"> state of competition among </w:t>
      </w:r>
      <w:r w:rsidR="00535566">
        <w:rPr>
          <w:b w:val="0"/>
          <w:color w:val="auto"/>
        </w:rPr>
        <w:t xml:space="preserve">communications providers in California. </w:t>
      </w:r>
      <w:r>
        <w:rPr>
          <w:b w:val="0"/>
          <w:color w:val="auto"/>
        </w:rPr>
        <w:t>The CPUC should ascertain</w:t>
      </w:r>
      <w:r w:rsidR="005516E1">
        <w:rPr>
          <w:b w:val="0"/>
          <w:color w:val="auto"/>
        </w:rPr>
        <w:t xml:space="preserve"> </w:t>
      </w:r>
      <w:r w:rsidR="00535566">
        <w:rPr>
          <w:b w:val="0"/>
          <w:color w:val="auto"/>
        </w:rPr>
        <w:t xml:space="preserve">whether </w:t>
      </w:r>
      <w:r>
        <w:rPr>
          <w:b w:val="0"/>
          <w:color w:val="auto"/>
        </w:rPr>
        <w:t xml:space="preserve">necessary </w:t>
      </w:r>
      <w:r w:rsidR="00535566">
        <w:rPr>
          <w:b w:val="0"/>
          <w:color w:val="auto"/>
        </w:rPr>
        <w:t xml:space="preserve">competition </w:t>
      </w:r>
      <w:r>
        <w:rPr>
          <w:b w:val="0"/>
          <w:color w:val="auto"/>
        </w:rPr>
        <w:t>exists in order to</w:t>
      </w:r>
      <w:r w:rsidR="00535566">
        <w:rPr>
          <w:b w:val="0"/>
          <w:color w:val="auto"/>
        </w:rPr>
        <w:t xml:space="preserve"> deliv</w:t>
      </w:r>
      <w:r w:rsidR="0032682F">
        <w:rPr>
          <w:b w:val="0"/>
          <w:color w:val="auto"/>
        </w:rPr>
        <w:t xml:space="preserve">er dependable, high-quality </w:t>
      </w:r>
      <w:r w:rsidR="00535566">
        <w:rPr>
          <w:b w:val="0"/>
          <w:color w:val="auto"/>
        </w:rPr>
        <w:t>communications services that are vital to California</w:t>
      </w:r>
      <w:r w:rsidR="008E1EA1">
        <w:rPr>
          <w:b w:val="0"/>
          <w:color w:val="auto"/>
        </w:rPr>
        <w:t xml:space="preserve"> consumers</w:t>
      </w:r>
      <w:r w:rsidR="00535566">
        <w:rPr>
          <w:b w:val="0"/>
          <w:color w:val="auto"/>
        </w:rPr>
        <w:t xml:space="preserve"> and </w:t>
      </w:r>
      <w:r w:rsidR="008E1EA1">
        <w:rPr>
          <w:b w:val="0"/>
          <w:color w:val="auto"/>
        </w:rPr>
        <w:t xml:space="preserve">the </w:t>
      </w:r>
      <w:r w:rsidR="00535566">
        <w:rPr>
          <w:b w:val="0"/>
          <w:color w:val="auto"/>
        </w:rPr>
        <w:t xml:space="preserve">economy. </w:t>
      </w:r>
      <w:r>
        <w:rPr>
          <w:b w:val="0"/>
          <w:color w:val="auto"/>
        </w:rPr>
        <w:t xml:space="preserve">This </w:t>
      </w:r>
      <w:r w:rsidR="00C33B7F">
        <w:rPr>
          <w:b w:val="0"/>
          <w:color w:val="auto"/>
        </w:rPr>
        <w:t>investigation</w:t>
      </w:r>
      <w:r>
        <w:rPr>
          <w:b w:val="0"/>
          <w:color w:val="auto"/>
        </w:rPr>
        <w:t xml:space="preserve"> is</w:t>
      </w:r>
      <w:r w:rsidR="00C33B7F">
        <w:rPr>
          <w:b w:val="0"/>
          <w:color w:val="auto"/>
        </w:rPr>
        <w:t xml:space="preserve"> particularly </w:t>
      </w:r>
      <w:r>
        <w:rPr>
          <w:b w:val="0"/>
          <w:color w:val="auto"/>
        </w:rPr>
        <w:t xml:space="preserve">appropriate </w:t>
      </w:r>
      <w:r w:rsidR="00C33B7F">
        <w:rPr>
          <w:b w:val="0"/>
          <w:color w:val="auto"/>
        </w:rPr>
        <w:t xml:space="preserve">in light of the CPUC’s heightened focus on the safety and reliability of the </w:t>
      </w:r>
      <w:r>
        <w:rPr>
          <w:b w:val="0"/>
          <w:color w:val="auto"/>
        </w:rPr>
        <w:t>s</w:t>
      </w:r>
      <w:r w:rsidR="00C33B7F">
        <w:rPr>
          <w:b w:val="0"/>
          <w:color w:val="auto"/>
        </w:rPr>
        <w:t xml:space="preserve">tate’s essential infrastructure. </w:t>
      </w:r>
      <w:r w:rsidR="00092FAA">
        <w:rPr>
          <w:b w:val="0"/>
          <w:color w:val="auto"/>
        </w:rPr>
        <w:t xml:space="preserve">In 2016, </w:t>
      </w:r>
      <w:r w:rsidR="00C33B7F">
        <w:rPr>
          <w:b w:val="0"/>
          <w:color w:val="auto"/>
        </w:rPr>
        <w:t xml:space="preserve">ORA will </w:t>
      </w:r>
      <w:r w:rsidR="00092FAA">
        <w:rPr>
          <w:b w:val="0"/>
          <w:color w:val="auto"/>
        </w:rPr>
        <w:t xml:space="preserve">work to provide evidence and in-depth analysis to contribute to </w:t>
      </w:r>
      <w:r w:rsidR="00A52CA5">
        <w:rPr>
          <w:b w:val="0"/>
          <w:color w:val="auto"/>
        </w:rPr>
        <w:t xml:space="preserve">shaping </w:t>
      </w:r>
      <w:r w:rsidR="00C33B7F">
        <w:rPr>
          <w:b w:val="0"/>
          <w:color w:val="auto"/>
        </w:rPr>
        <w:t xml:space="preserve">a robust </w:t>
      </w:r>
      <w:r w:rsidR="00A52CA5">
        <w:rPr>
          <w:b w:val="0"/>
          <w:color w:val="auto"/>
        </w:rPr>
        <w:t xml:space="preserve">CPUC </w:t>
      </w:r>
      <w:r w:rsidR="00C33B7F">
        <w:rPr>
          <w:b w:val="0"/>
          <w:color w:val="auto"/>
        </w:rPr>
        <w:t>record.</w:t>
      </w:r>
    </w:p>
    <w:p w:rsidR="00535566" w:rsidRPr="00535566" w:rsidRDefault="00535566" w:rsidP="008A2BF2">
      <w:pPr>
        <w:pStyle w:val="GreyHeading2StyleGroup1"/>
        <w:spacing w:line="288" w:lineRule="auto"/>
        <w:rPr>
          <w:rFonts w:ascii="Arial Black" w:hAnsi="Arial Black"/>
          <w:color w:val="auto"/>
        </w:rPr>
      </w:pPr>
      <w:r w:rsidRPr="00535566">
        <w:rPr>
          <w:rFonts w:ascii="Arial Black" w:hAnsi="Arial Black"/>
          <w:color w:val="auto"/>
        </w:rPr>
        <w:t>Service Quality</w:t>
      </w:r>
    </w:p>
    <w:p w:rsidR="00B06A8E" w:rsidRDefault="00AD6B72" w:rsidP="00106DE4">
      <w:pPr>
        <w:pStyle w:val="NormalWeb"/>
        <w:spacing w:after="120" w:line="288" w:lineRule="auto"/>
        <w:ind w:firstLine="720"/>
        <w:jc w:val="both"/>
        <w:rPr>
          <w:rFonts w:ascii="Arial" w:hAnsi="Arial" w:cs="Arial"/>
          <w:sz w:val="20"/>
          <w:szCs w:val="20"/>
        </w:rPr>
      </w:pPr>
      <w:r>
        <w:rPr>
          <w:rFonts w:ascii="Arial" w:hAnsi="Arial" w:cs="Arial"/>
          <w:sz w:val="20"/>
          <w:szCs w:val="20"/>
        </w:rPr>
        <w:t>ORA supports the CPUC’s S</w:t>
      </w:r>
      <w:r w:rsidR="008A2BF2" w:rsidRPr="002C533A">
        <w:rPr>
          <w:rFonts w:ascii="Arial" w:hAnsi="Arial" w:cs="Arial"/>
          <w:sz w:val="20"/>
          <w:szCs w:val="20"/>
        </w:rPr>
        <w:t xml:space="preserve">ervice </w:t>
      </w:r>
      <w:r>
        <w:rPr>
          <w:rFonts w:ascii="Arial" w:hAnsi="Arial" w:cs="Arial"/>
          <w:sz w:val="20"/>
          <w:szCs w:val="20"/>
        </w:rPr>
        <w:t>Q</w:t>
      </w:r>
      <w:r w:rsidR="008A2BF2" w:rsidRPr="002C533A">
        <w:rPr>
          <w:rFonts w:ascii="Arial" w:hAnsi="Arial" w:cs="Arial"/>
          <w:sz w:val="20"/>
          <w:szCs w:val="20"/>
        </w:rPr>
        <w:t>uality and reliability standards that require communications providers to ensure public safety, health, comfort, and public convenience. The CPUC’s General Order 133 requires specific minimum standards for network technical quality, customer service, installation, repairs, and billing. ORA supported key elements of the CPUC’s February 2015 staff report, such as requiring</w:t>
      </w:r>
      <w:r w:rsidR="00B06A8E">
        <w:rPr>
          <w:rFonts w:ascii="Arial" w:hAnsi="Arial" w:cs="Arial"/>
          <w:sz w:val="20"/>
          <w:szCs w:val="20"/>
        </w:rPr>
        <w:t>:</w:t>
      </w:r>
    </w:p>
    <w:p w:rsidR="00B06A8E" w:rsidRDefault="00B06A8E" w:rsidP="00B06A8E">
      <w:pPr>
        <w:pStyle w:val="NormalWeb"/>
        <w:numPr>
          <w:ilvl w:val="0"/>
          <w:numId w:val="45"/>
        </w:numPr>
        <w:spacing w:after="120" w:line="288" w:lineRule="auto"/>
        <w:jc w:val="both"/>
        <w:rPr>
          <w:rFonts w:ascii="Arial" w:hAnsi="Arial" w:cs="Arial"/>
          <w:sz w:val="20"/>
          <w:szCs w:val="20"/>
        </w:rPr>
      </w:pPr>
      <w:r>
        <w:rPr>
          <w:rFonts w:ascii="Arial" w:hAnsi="Arial" w:cs="Arial"/>
          <w:sz w:val="20"/>
          <w:szCs w:val="20"/>
        </w:rPr>
        <w:t>C</w:t>
      </w:r>
      <w:r w:rsidR="008A2BF2" w:rsidRPr="002C533A">
        <w:rPr>
          <w:rFonts w:ascii="Arial" w:hAnsi="Arial" w:cs="Arial"/>
          <w:sz w:val="20"/>
          <w:szCs w:val="20"/>
        </w:rPr>
        <w:t>ustomer refunds for excessive service outages</w:t>
      </w:r>
      <w:r>
        <w:rPr>
          <w:rFonts w:ascii="Arial" w:hAnsi="Arial" w:cs="Arial"/>
          <w:sz w:val="20"/>
          <w:szCs w:val="20"/>
        </w:rPr>
        <w:t>.</w:t>
      </w:r>
    </w:p>
    <w:p w:rsidR="00B06A8E" w:rsidRDefault="00B06A8E" w:rsidP="00B06A8E">
      <w:pPr>
        <w:pStyle w:val="NormalWeb"/>
        <w:numPr>
          <w:ilvl w:val="0"/>
          <w:numId w:val="45"/>
        </w:numPr>
        <w:spacing w:after="120" w:line="288" w:lineRule="auto"/>
        <w:jc w:val="both"/>
        <w:rPr>
          <w:rFonts w:ascii="Arial" w:hAnsi="Arial" w:cs="Arial"/>
          <w:sz w:val="20"/>
          <w:szCs w:val="20"/>
        </w:rPr>
      </w:pPr>
      <w:r>
        <w:rPr>
          <w:rFonts w:ascii="Arial" w:hAnsi="Arial" w:cs="Arial"/>
          <w:sz w:val="20"/>
          <w:szCs w:val="20"/>
        </w:rPr>
        <w:t>P</w:t>
      </w:r>
      <w:r w:rsidR="008A2BF2" w:rsidRPr="002C533A">
        <w:rPr>
          <w:rFonts w:ascii="Arial" w:hAnsi="Arial" w:cs="Arial"/>
          <w:sz w:val="20"/>
          <w:szCs w:val="20"/>
        </w:rPr>
        <w:t>enalties for failing to meet minimum standards</w:t>
      </w:r>
      <w:r>
        <w:rPr>
          <w:rFonts w:ascii="Arial" w:hAnsi="Arial" w:cs="Arial"/>
          <w:sz w:val="20"/>
          <w:szCs w:val="20"/>
        </w:rPr>
        <w:t>.</w:t>
      </w:r>
    </w:p>
    <w:p w:rsidR="00B06A8E" w:rsidRDefault="00B06A8E" w:rsidP="00B06A8E">
      <w:pPr>
        <w:pStyle w:val="NormalWeb"/>
        <w:numPr>
          <w:ilvl w:val="0"/>
          <w:numId w:val="45"/>
        </w:numPr>
        <w:spacing w:after="120" w:line="288" w:lineRule="auto"/>
        <w:jc w:val="both"/>
        <w:rPr>
          <w:rFonts w:ascii="Arial" w:hAnsi="Arial" w:cs="Arial"/>
          <w:sz w:val="20"/>
          <w:szCs w:val="20"/>
        </w:rPr>
      </w:pPr>
      <w:r>
        <w:rPr>
          <w:rFonts w:ascii="Arial" w:hAnsi="Arial" w:cs="Arial"/>
          <w:sz w:val="20"/>
          <w:szCs w:val="20"/>
        </w:rPr>
        <w:t>M</w:t>
      </w:r>
      <w:r w:rsidR="008A2BF2" w:rsidRPr="002C533A">
        <w:rPr>
          <w:rFonts w:ascii="Arial" w:hAnsi="Arial" w:cs="Arial"/>
          <w:sz w:val="20"/>
          <w:szCs w:val="20"/>
        </w:rPr>
        <w:t>ore extensive reporting</w:t>
      </w:r>
      <w:r>
        <w:rPr>
          <w:rFonts w:ascii="Arial" w:hAnsi="Arial" w:cs="Arial"/>
          <w:sz w:val="20"/>
          <w:szCs w:val="20"/>
        </w:rPr>
        <w:t>.</w:t>
      </w:r>
    </w:p>
    <w:p w:rsidR="00B06A8E" w:rsidRDefault="00B06A8E" w:rsidP="00B06A8E">
      <w:pPr>
        <w:pStyle w:val="NormalWeb"/>
        <w:numPr>
          <w:ilvl w:val="0"/>
          <w:numId w:val="45"/>
        </w:numPr>
        <w:spacing w:after="120" w:line="288" w:lineRule="auto"/>
        <w:jc w:val="both"/>
        <w:rPr>
          <w:rFonts w:ascii="Arial" w:hAnsi="Arial" w:cs="Arial"/>
          <w:sz w:val="20"/>
          <w:szCs w:val="20"/>
        </w:rPr>
      </w:pPr>
      <w:r>
        <w:rPr>
          <w:rFonts w:ascii="Arial" w:hAnsi="Arial" w:cs="Arial"/>
          <w:sz w:val="20"/>
          <w:szCs w:val="20"/>
        </w:rPr>
        <w:t>E</w:t>
      </w:r>
      <w:r w:rsidR="008A2BF2" w:rsidRPr="002C533A">
        <w:rPr>
          <w:rFonts w:ascii="Arial" w:hAnsi="Arial" w:cs="Arial"/>
          <w:sz w:val="20"/>
          <w:szCs w:val="20"/>
        </w:rPr>
        <w:t>xten</w:t>
      </w:r>
      <w:r>
        <w:rPr>
          <w:rFonts w:ascii="Arial" w:hAnsi="Arial" w:cs="Arial"/>
          <w:sz w:val="20"/>
          <w:szCs w:val="20"/>
        </w:rPr>
        <w:t>sion of</w:t>
      </w:r>
      <w:r w:rsidR="008A2BF2" w:rsidRPr="002C533A">
        <w:rPr>
          <w:rFonts w:ascii="Arial" w:hAnsi="Arial" w:cs="Arial"/>
          <w:sz w:val="20"/>
          <w:szCs w:val="20"/>
        </w:rPr>
        <w:t xml:space="preserve"> such standards to wireless and all interconnected VoIP service providers. </w:t>
      </w:r>
    </w:p>
    <w:p w:rsidR="00A01F3C" w:rsidRDefault="008A2BF2" w:rsidP="00B06A8E">
      <w:pPr>
        <w:pStyle w:val="NormalWeb"/>
        <w:spacing w:after="120" w:line="288" w:lineRule="auto"/>
        <w:jc w:val="both"/>
        <w:rPr>
          <w:rFonts w:ascii="Arial" w:hAnsi="Arial" w:cs="Arial"/>
          <w:sz w:val="20"/>
          <w:szCs w:val="20"/>
        </w:rPr>
      </w:pPr>
      <w:r w:rsidRPr="002C533A">
        <w:rPr>
          <w:rFonts w:ascii="Arial" w:hAnsi="Arial" w:cs="Arial"/>
          <w:sz w:val="20"/>
          <w:szCs w:val="20"/>
        </w:rPr>
        <w:t xml:space="preserve">ORA made additional recommendations </w:t>
      </w:r>
      <w:r w:rsidR="00AD6B72">
        <w:rPr>
          <w:rFonts w:ascii="Arial" w:hAnsi="Arial" w:cs="Arial"/>
          <w:sz w:val="20"/>
          <w:szCs w:val="20"/>
        </w:rPr>
        <w:t>in order to promote optimal S</w:t>
      </w:r>
      <w:r w:rsidRPr="002C533A">
        <w:rPr>
          <w:rFonts w:ascii="Arial" w:hAnsi="Arial" w:cs="Arial"/>
          <w:sz w:val="20"/>
          <w:szCs w:val="20"/>
        </w:rPr>
        <w:t xml:space="preserve">ervice </w:t>
      </w:r>
      <w:r w:rsidR="00AD6B72">
        <w:rPr>
          <w:rFonts w:ascii="Arial" w:hAnsi="Arial" w:cs="Arial"/>
          <w:sz w:val="20"/>
          <w:szCs w:val="20"/>
        </w:rPr>
        <w:t>Q</w:t>
      </w:r>
      <w:r w:rsidRPr="002C533A">
        <w:rPr>
          <w:rFonts w:ascii="Arial" w:hAnsi="Arial" w:cs="Arial"/>
          <w:sz w:val="20"/>
          <w:szCs w:val="20"/>
        </w:rPr>
        <w:t xml:space="preserve">uality standards and customer protections, including setting more reasonable thresholds for reporting major outages and requiring telephone </w:t>
      </w:r>
      <w:r w:rsidR="00106DE4">
        <w:rPr>
          <w:rFonts w:ascii="Arial" w:hAnsi="Arial" w:cs="Arial"/>
          <w:sz w:val="20"/>
          <w:szCs w:val="20"/>
        </w:rPr>
        <w:t>corporations to report outages.</w:t>
      </w:r>
    </w:p>
    <w:p w:rsidR="008A2BF2" w:rsidRDefault="008A2BF2" w:rsidP="00D7507D">
      <w:pPr>
        <w:pStyle w:val="NormalWeb"/>
        <w:spacing w:after="120" w:line="288" w:lineRule="auto"/>
        <w:ind w:firstLine="720"/>
        <w:jc w:val="both"/>
        <w:rPr>
          <w:rFonts w:ascii="Arial" w:hAnsi="Arial" w:cs="Arial"/>
          <w:sz w:val="20"/>
          <w:szCs w:val="20"/>
        </w:rPr>
      </w:pPr>
      <w:r w:rsidRPr="002C533A">
        <w:rPr>
          <w:rFonts w:ascii="Arial" w:hAnsi="Arial" w:cs="Arial"/>
          <w:sz w:val="20"/>
          <w:szCs w:val="20"/>
        </w:rPr>
        <w:t xml:space="preserve">ORA </w:t>
      </w:r>
      <w:r>
        <w:rPr>
          <w:rFonts w:ascii="Arial" w:hAnsi="Arial" w:cs="Arial"/>
          <w:sz w:val="20"/>
          <w:szCs w:val="20"/>
        </w:rPr>
        <w:t>urged</w:t>
      </w:r>
      <w:r w:rsidRPr="002C533A">
        <w:rPr>
          <w:rFonts w:ascii="Arial" w:hAnsi="Arial" w:cs="Arial"/>
          <w:sz w:val="20"/>
          <w:szCs w:val="20"/>
        </w:rPr>
        <w:t xml:space="preserve"> the CPUC to </w:t>
      </w:r>
      <w:r>
        <w:rPr>
          <w:rFonts w:ascii="Arial" w:hAnsi="Arial" w:cs="Arial"/>
          <w:sz w:val="20"/>
          <w:szCs w:val="20"/>
        </w:rPr>
        <w:t xml:space="preserve">actively </w:t>
      </w:r>
      <w:r w:rsidRPr="002C533A">
        <w:rPr>
          <w:rFonts w:ascii="Arial" w:hAnsi="Arial" w:cs="Arial"/>
          <w:sz w:val="20"/>
          <w:szCs w:val="20"/>
        </w:rPr>
        <w:t>gauge the condition of Calif</w:t>
      </w:r>
      <w:r w:rsidR="0032682F">
        <w:rPr>
          <w:rFonts w:ascii="Arial" w:hAnsi="Arial" w:cs="Arial"/>
          <w:sz w:val="20"/>
          <w:szCs w:val="20"/>
        </w:rPr>
        <w:t xml:space="preserve">ornia </w:t>
      </w:r>
      <w:r w:rsidRPr="002C533A">
        <w:rPr>
          <w:rFonts w:ascii="Arial" w:hAnsi="Arial" w:cs="Arial"/>
          <w:sz w:val="20"/>
          <w:szCs w:val="20"/>
        </w:rPr>
        <w:t>communications infrastructure and facilities. Completion of this</w:t>
      </w:r>
      <w:r w:rsidR="009D34E1">
        <w:rPr>
          <w:rFonts w:ascii="Arial" w:hAnsi="Arial" w:cs="Arial"/>
          <w:sz w:val="20"/>
          <w:szCs w:val="20"/>
        </w:rPr>
        <w:t xml:space="preserve"> </w:t>
      </w:r>
      <w:r w:rsidRPr="002C533A">
        <w:rPr>
          <w:rFonts w:ascii="Arial" w:hAnsi="Arial" w:cs="Arial"/>
          <w:sz w:val="20"/>
          <w:szCs w:val="20"/>
        </w:rPr>
        <w:t>evaluation is necessary to ascertain the ability of the current infrastructure to support a level of service consistent with public safety and reliability. In August</w:t>
      </w:r>
      <w:r w:rsidR="009D34E1">
        <w:rPr>
          <w:rFonts w:ascii="Arial" w:hAnsi="Arial" w:cs="Arial"/>
          <w:sz w:val="20"/>
          <w:szCs w:val="20"/>
        </w:rPr>
        <w:t xml:space="preserve"> </w:t>
      </w:r>
      <w:r w:rsidR="00EF436B">
        <w:rPr>
          <w:rFonts w:ascii="Arial" w:hAnsi="Arial" w:cs="Arial"/>
          <w:sz w:val="20"/>
          <w:szCs w:val="20"/>
        </w:rPr>
        <w:br/>
      </w:r>
      <w:r w:rsidRPr="002C533A">
        <w:rPr>
          <w:rFonts w:ascii="Arial" w:hAnsi="Arial" w:cs="Arial"/>
          <w:sz w:val="20"/>
          <w:szCs w:val="20"/>
        </w:rPr>
        <w:t xml:space="preserve">2015, the CPUC reaffirmed the need to expeditiously complete the network evaluation study. </w:t>
      </w:r>
    </w:p>
    <w:p w:rsidR="007C1629" w:rsidRPr="002C533A" w:rsidRDefault="007C1629" w:rsidP="00D7507D">
      <w:pPr>
        <w:pStyle w:val="NormalWeb"/>
        <w:spacing w:after="120" w:line="288" w:lineRule="auto"/>
        <w:ind w:firstLine="720"/>
        <w:jc w:val="both"/>
        <w:rPr>
          <w:rFonts w:ascii="Arial" w:hAnsi="Arial" w:cs="Arial"/>
          <w:sz w:val="20"/>
          <w:szCs w:val="20"/>
        </w:rPr>
      </w:pPr>
    </w:p>
    <w:p w:rsidR="008A2BF2" w:rsidRPr="000818A6" w:rsidRDefault="008A2BF2" w:rsidP="008A2BF2">
      <w:pPr>
        <w:pStyle w:val="GreyHeading2StyleGroup1"/>
        <w:spacing w:line="288" w:lineRule="auto"/>
        <w:rPr>
          <w:rFonts w:ascii="Arial Black" w:hAnsi="Arial Black"/>
          <w:color w:val="4F81BD" w:themeColor="accent1"/>
          <w:sz w:val="22"/>
        </w:rPr>
      </w:pPr>
      <w:r w:rsidRPr="000818A6">
        <w:rPr>
          <w:rFonts w:ascii="Arial Black" w:hAnsi="Arial Black"/>
          <w:color w:val="4F81BD" w:themeColor="accent1"/>
          <w:sz w:val="22"/>
        </w:rPr>
        <w:t>Broadband</w:t>
      </w:r>
    </w:p>
    <w:p w:rsidR="008A2BF2" w:rsidRPr="002C533A" w:rsidRDefault="008A2BF2" w:rsidP="005516E1">
      <w:pPr>
        <w:pStyle w:val="BodyTextNoIndent"/>
        <w:spacing w:line="288" w:lineRule="auto"/>
        <w:ind w:firstLine="720"/>
        <w:rPr>
          <w:b/>
          <w:bCs/>
        </w:rPr>
      </w:pPr>
      <w:r w:rsidRPr="002C533A">
        <w:t xml:space="preserve">ORA supports the state’s goal to bridge the “digital divide” and encourages the CPUC to ensure that subsidy programs that advance deployment and adoption </w:t>
      </w:r>
      <w:r>
        <w:t xml:space="preserve">of </w:t>
      </w:r>
      <w:r w:rsidRPr="002C533A">
        <w:t xml:space="preserve">broadband </w:t>
      </w:r>
      <w:r>
        <w:t>advance this goal cost-</w:t>
      </w:r>
      <w:r w:rsidRPr="002C533A">
        <w:t>effectively. Ubiquitous broadband access is essential to economic growth and provides social benefits for all Californians.</w:t>
      </w:r>
    </w:p>
    <w:p w:rsidR="008A2BF2" w:rsidRPr="000818A6" w:rsidRDefault="008A2BF2" w:rsidP="00AD6B72">
      <w:pPr>
        <w:pStyle w:val="GreyHeading2StyleGroup1"/>
        <w:spacing w:line="240" w:lineRule="auto"/>
        <w:rPr>
          <w:rFonts w:ascii="Arial Black" w:hAnsi="Arial Black"/>
          <w:color w:val="auto"/>
        </w:rPr>
      </w:pPr>
      <w:r w:rsidRPr="000818A6">
        <w:rPr>
          <w:rFonts w:ascii="Arial Black" w:hAnsi="Arial Black"/>
          <w:color w:val="auto"/>
        </w:rPr>
        <w:t>California Technology Fund</w:t>
      </w:r>
    </w:p>
    <w:p w:rsidR="006D2868" w:rsidRDefault="008A2BF2" w:rsidP="00EC1630">
      <w:pPr>
        <w:spacing w:after="120" w:line="288" w:lineRule="auto"/>
        <w:ind w:firstLine="720"/>
        <w:jc w:val="both"/>
        <w:rPr>
          <w:rFonts w:ascii="Arial" w:hAnsi="Arial" w:cs="Arial"/>
          <w:sz w:val="20"/>
          <w:szCs w:val="20"/>
        </w:rPr>
      </w:pPr>
      <w:r w:rsidRPr="002C533A">
        <w:rPr>
          <w:rFonts w:ascii="Arial" w:hAnsi="Arial" w:cs="Arial"/>
          <w:sz w:val="20"/>
          <w:szCs w:val="20"/>
        </w:rPr>
        <w:t>ORA supports the goals of the California Teleconnect Fund to make broadband more accessible</w:t>
      </w:r>
      <w:r w:rsidR="00AD6B72">
        <w:rPr>
          <w:rFonts w:ascii="Arial" w:hAnsi="Arial" w:cs="Arial"/>
          <w:sz w:val="20"/>
          <w:szCs w:val="20"/>
        </w:rPr>
        <w:t xml:space="preserve"> </w:t>
      </w:r>
      <w:r w:rsidRPr="002C533A">
        <w:rPr>
          <w:rFonts w:ascii="Arial" w:hAnsi="Arial" w:cs="Arial"/>
          <w:sz w:val="20"/>
          <w:szCs w:val="20"/>
        </w:rPr>
        <w:t>to underserved communities. The CPUC adopted ORA’s recommendation to expand eligibility to include non-profit</w:t>
      </w:r>
      <w:r w:rsidR="00B06A8E">
        <w:rPr>
          <w:rFonts w:ascii="Arial" w:hAnsi="Arial" w:cs="Arial"/>
          <w:sz w:val="20"/>
          <w:szCs w:val="20"/>
        </w:rPr>
        <w:t>,</w:t>
      </w:r>
      <w:r w:rsidRPr="002C533A">
        <w:rPr>
          <w:rFonts w:ascii="Arial" w:hAnsi="Arial" w:cs="Arial"/>
          <w:sz w:val="20"/>
          <w:szCs w:val="20"/>
        </w:rPr>
        <w:t xml:space="preserve"> government-run critical access hospitals</w:t>
      </w:r>
      <w:r w:rsidR="00B06A8E">
        <w:rPr>
          <w:rFonts w:ascii="Arial" w:hAnsi="Arial" w:cs="Arial"/>
          <w:sz w:val="20"/>
          <w:szCs w:val="20"/>
        </w:rPr>
        <w:t>,</w:t>
      </w:r>
      <w:r w:rsidRPr="002C533A">
        <w:rPr>
          <w:rFonts w:ascii="Arial" w:hAnsi="Arial" w:cs="Arial"/>
          <w:sz w:val="20"/>
          <w:szCs w:val="20"/>
        </w:rPr>
        <w:t xml:space="preserve"> and pre-kindergarten school programs</w:t>
      </w:r>
      <w:r>
        <w:rPr>
          <w:rFonts w:ascii="Arial" w:hAnsi="Arial" w:cs="Arial"/>
          <w:sz w:val="20"/>
          <w:szCs w:val="20"/>
        </w:rPr>
        <w:t xml:space="preserve">, as well as to </w:t>
      </w:r>
      <w:r w:rsidRPr="002C533A">
        <w:rPr>
          <w:rFonts w:ascii="Arial" w:hAnsi="Arial" w:cs="Arial"/>
          <w:sz w:val="20"/>
          <w:szCs w:val="20"/>
        </w:rPr>
        <w:t>remove the funding cap for community colleges and to retain the current 50% discount structure</w:t>
      </w:r>
      <w:r>
        <w:rPr>
          <w:rFonts w:ascii="Arial" w:hAnsi="Arial" w:cs="Arial"/>
          <w:sz w:val="20"/>
          <w:szCs w:val="20"/>
        </w:rPr>
        <w:t>.</w:t>
      </w:r>
      <w:r w:rsidRPr="002C533A">
        <w:rPr>
          <w:rFonts w:ascii="Arial" w:hAnsi="Arial" w:cs="Arial"/>
          <w:sz w:val="20"/>
          <w:szCs w:val="20"/>
        </w:rPr>
        <w:t xml:space="preserve"> </w:t>
      </w:r>
    </w:p>
    <w:p w:rsidR="00E57FCE" w:rsidRDefault="00E57FCE" w:rsidP="008C6668">
      <w:pPr>
        <w:rPr>
          <w:rFonts w:ascii="Arial" w:hAnsi="Arial" w:cs="Arial"/>
          <w:sz w:val="20"/>
          <w:szCs w:val="20"/>
        </w:rPr>
      </w:pPr>
    </w:p>
    <w:p w:rsidR="00E57FCE" w:rsidRDefault="00E57FCE" w:rsidP="008C6668">
      <w:pPr>
        <w:rPr>
          <w:rFonts w:ascii="Arial" w:hAnsi="Arial" w:cs="Arial"/>
          <w:sz w:val="20"/>
          <w:szCs w:val="20"/>
        </w:rPr>
      </w:pPr>
    </w:p>
    <w:p w:rsidR="00E57FCE" w:rsidRDefault="00E57FCE" w:rsidP="008C6668">
      <w:pPr>
        <w:rPr>
          <w:rFonts w:ascii="Arial" w:hAnsi="Arial" w:cs="Arial"/>
          <w:sz w:val="20"/>
          <w:szCs w:val="20"/>
        </w:rPr>
      </w:pPr>
    </w:p>
    <w:p w:rsidR="00E57FCE" w:rsidRDefault="00E57FCE" w:rsidP="008C6668">
      <w:pPr>
        <w:rPr>
          <w:rFonts w:ascii="Arial" w:hAnsi="Arial" w:cs="Arial"/>
          <w:sz w:val="20"/>
          <w:szCs w:val="20"/>
        </w:rPr>
      </w:pPr>
    </w:p>
    <w:p w:rsidR="00E57FCE" w:rsidRDefault="00E57FCE" w:rsidP="008C6668">
      <w:pPr>
        <w:rPr>
          <w:rFonts w:ascii="Arial" w:hAnsi="Arial" w:cs="Arial"/>
          <w:sz w:val="20"/>
          <w:szCs w:val="20"/>
        </w:rPr>
      </w:pPr>
    </w:p>
    <w:p w:rsidR="00E57FCE" w:rsidRDefault="00E57FCE" w:rsidP="008C6668">
      <w:pPr>
        <w:rPr>
          <w:rFonts w:ascii="Arial" w:hAnsi="Arial" w:cs="Arial"/>
          <w:sz w:val="20"/>
          <w:szCs w:val="20"/>
        </w:rPr>
      </w:pPr>
    </w:p>
    <w:p w:rsidR="00106DE4" w:rsidRDefault="00106DE4" w:rsidP="00106DE4">
      <w:pPr>
        <w:rPr>
          <w:rFonts w:ascii="Arial" w:hAnsi="Arial" w:cs="Arial"/>
          <w:sz w:val="20"/>
          <w:szCs w:val="20"/>
        </w:rPr>
      </w:pPr>
    </w:p>
    <w:p w:rsidR="00106DE4" w:rsidRDefault="00106DE4" w:rsidP="00106DE4">
      <w:pPr>
        <w:rPr>
          <w:rFonts w:ascii="Arial" w:hAnsi="Arial" w:cs="Arial"/>
          <w:sz w:val="20"/>
          <w:szCs w:val="20"/>
        </w:rPr>
      </w:pPr>
    </w:p>
    <w:p w:rsidR="00106DE4" w:rsidRDefault="00106DE4" w:rsidP="00106DE4">
      <w:pPr>
        <w:rPr>
          <w:rFonts w:ascii="Arial" w:hAnsi="Arial" w:cs="Arial"/>
          <w:sz w:val="20"/>
          <w:szCs w:val="20"/>
        </w:rPr>
      </w:pPr>
    </w:p>
    <w:p w:rsidR="00106DE4" w:rsidRDefault="00106DE4" w:rsidP="00106DE4">
      <w:pPr>
        <w:rPr>
          <w:rFonts w:ascii="Arial" w:hAnsi="Arial" w:cs="Arial"/>
          <w:sz w:val="20"/>
          <w:szCs w:val="20"/>
        </w:rPr>
      </w:pPr>
    </w:p>
    <w:p w:rsidR="00106DE4" w:rsidRDefault="00106DE4" w:rsidP="00106DE4">
      <w:pPr>
        <w:rPr>
          <w:rFonts w:ascii="Arial" w:hAnsi="Arial" w:cs="Arial"/>
          <w:sz w:val="20"/>
          <w:szCs w:val="20"/>
        </w:rPr>
      </w:pPr>
    </w:p>
    <w:p w:rsidR="00106DE4" w:rsidRDefault="00106DE4" w:rsidP="00106DE4">
      <w:pPr>
        <w:rPr>
          <w:rFonts w:ascii="Arial" w:hAnsi="Arial" w:cs="Arial"/>
          <w:sz w:val="20"/>
          <w:szCs w:val="20"/>
        </w:rPr>
      </w:pPr>
    </w:p>
    <w:p w:rsidR="00106DE4" w:rsidRDefault="00106DE4" w:rsidP="00106DE4">
      <w:pPr>
        <w:rPr>
          <w:rFonts w:ascii="Arial" w:hAnsi="Arial" w:cs="Arial"/>
          <w:sz w:val="20"/>
          <w:szCs w:val="20"/>
        </w:rPr>
      </w:pPr>
    </w:p>
    <w:p w:rsidR="00106DE4" w:rsidRDefault="00106DE4" w:rsidP="00106DE4">
      <w:pPr>
        <w:rPr>
          <w:rFonts w:ascii="Arial" w:hAnsi="Arial" w:cs="Arial"/>
          <w:sz w:val="20"/>
          <w:szCs w:val="20"/>
        </w:rPr>
      </w:pPr>
    </w:p>
    <w:p w:rsidR="00106DE4" w:rsidRDefault="00106DE4" w:rsidP="00106DE4">
      <w:pPr>
        <w:rPr>
          <w:rFonts w:ascii="Arial" w:hAnsi="Arial" w:cs="Arial"/>
          <w:sz w:val="20"/>
          <w:szCs w:val="20"/>
        </w:rPr>
      </w:pPr>
    </w:p>
    <w:p w:rsidR="00106DE4" w:rsidRDefault="00106DE4" w:rsidP="00106DE4">
      <w:pPr>
        <w:rPr>
          <w:rFonts w:ascii="Arial" w:hAnsi="Arial" w:cs="Arial"/>
          <w:sz w:val="20"/>
          <w:szCs w:val="20"/>
        </w:rPr>
      </w:pPr>
    </w:p>
    <w:p w:rsidR="00106DE4" w:rsidRDefault="00106DE4" w:rsidP="00106DE4">
      <w:pPr>
        <w:rPr>
          <w:rFonts w:ascii="Arial" w:hAnsi="Arial" w:cs="Arial"/>
          <w:sz w:val="20"/>
          <w:szCs w:val="20"/>
        </w:rPr>
      </w:pPr>
    </w:p>
    <w:p w:rsidR="00106DE4" w:rsidRDefault="00106DE4" w:rsidP="00106DE4">
      <w:pPr>
        <w:rPr>
          <w:rFonts w:ascii="Arial" w:hAnsi="Arial" w:cs="Arial"/>
          <w:sz w:val="20"/>
          <w:szCs w:val="20"/>
        </w:rPr>
      </w:pPr>
    </w:p>
    <w:p w:rsidR="00106DE4" w:rsidRDefault="00106DE4" w:rsidP="00106DE4">
      <w:pPr>
        <w:rPr>
          <w:rFonts w:ascii="Arial" w:hAnsi="Arial" w:cs="Arial"/>
          <w:sz w:val="20"/>
          <w:szCs w:val="20"/>
        </w:rPr>
      </w:pPr>
    </w:p>
    <w:p w:rsidR="00106DE4" w:rsidRDefault="00106DE4" w:rsidP="00106DE4">
      <w:pPr>
        <w:rPr>
          <w:rFonts w:ascii="Arial" w:hAnsi="Arial" w:cs="Arial"/>
          <w:sz w:val="20"/>
          <w:szCs w:val="20"/>
        </w:rPr>
      </w:pPr>
    </w:p>
    <w:p w:rsidR="00106DE4" w:rsidRDefault="00106DE4" w:rsidP="00106DE4">
      <w:pPr>
        <w:rPr>
          <w:rFonts w:ascii="Arial" w:hAnsi="Arial" w:cs="Arial"/>
          <w:sz w:val="20"/>
          <w:szCs w:val="20"/>
        </w:rPr>
      </w:pPr>
    </w:p>
    <w:p w:rsidR="00106DE4" w:rsidRDefault="00106DE4" w:rsidP="00106DE4">
      <w:pPr>
        <w:rPr>
          <w:rFonts w:ascii="Arial" w:hAnsi="Arial" w:cs="Arial"/>
          <w:sz w:val="20"/>
          <w:szCs w:val="20"/>
        </w:rPr>
      </w:pPr>
    </w:p>
    <w:p w:rsidR="00106DE4" w:rsidRDefault="00106DE4" w:rsidP="00106DE4">
      <w:pPr>
        <w:rPr>
          <w:rFonts w:ascii="Arial" w:hAnsi="Arial" w:cs="Arial"/>
          <w:sz w:val="20"/>
          <w:szCs w:val="20"/>
        </w:rPr>
      </w:pPr>
    </w:p>
    <w:p w:rsidR="00106DE4" w:rsidRDefault="00106DE4" w:rsidP="00106DE4">
      <w:pPr>
        <w:rPr>
          <w:rFonts w:ascii="Arial" w:hAnsi="Arial" w:cs="Arial"/>
          <w:sz w:val="20"/>
          <w:szCs w:val="20"/>
        </w:rPr>
      </w:pPr>
    </w:p>
    <w:p w:rsidR="00106DE4" w:rsidRDefault="00106DE4" w:rsidP="00106DE4">
      <w:pPr>
        <w:rPr>
          <w:rFonts w:ascii="Arial" w:hAnsi="Arial" w:cs="Arial"/>
          <w:sz w:val="20"/>
          <w:szCs w:val="20"/>
        </w:rPr>
      </w:pPr>
    </w:p>
    <w:p w:rsidR="00106DE4" w:rsidRDefault="00106DE4" w:rsidP="00106DE4">
      <w:pPr>
        <w:rPr>
          <w:rFonts w:ascii="Arial" w:hAnsi="Arial" w:cs="Arial"/>
          <w:sz w:val="20"/>
          <w:szCs w:val="20"/>
        </w:rPr>
      </w:pPr>
    </w:p>
    <w:p w:rsidR="003D4D3D" w:rsidRDefault="003D4D3D" w:rsidP="00106DE4">
      <w:pPr>
        <w:rPr>
          <w:rFonts w:ascii="Arial" w:hAnsi="Arial" w:cs="Arial"/>
          <w:sz w:val="20"/>
          <w:szCs w:val="20"/>
        </w:rPr>
      </w:pPr>
      <w:r>
        <w:rPr>
          <w:rFonts w:ascii="Arial" w:hAnsi="Arial" w:cs="Arial"/>
          <w:sz w:val="20"/>
          <w:szCs w:val="20"/>
        </w:rPr>
        <w:br w:type="page"/>
      </w:r>
    </w:p>
    <w:p w:rsidR="002D6B09" w:rsidRDefault="002D6B09" w:rsidP="00106DE4">
      <w:pPr>
        <w:rPr>
          <w:rFonts w:ascii="Arial" w:hAnsi="Arial" w:cs="Arial"/>
          <w:sz w:val="20"/>
          <w:szCs w:val="20"/>
        </w:rPr>
      </w:pPr>
    </w:p>
    <w:p w:rsidR="002D6B09" w:rsidRDefault="005B638A" w:rsidP="00106DE4">
      <w:pPr>
        <w:rPr>
          <w:rFonts w:ascii="Arial" w:hAnsi="Arial" w:cs="Arial"/>
          <w:sz w:val="20"/>
          <w:szCs w:val="20"/>
        </w:rPr>
      </w:pPr>
      <w:r w:rsidRPr="00D21526">
        <w:rPr>
          <w:rFonts w:ascii="Arial" w:hAnsi="Arial" w:cs="Arial"/>
          <w:noProof/>
          <w:sz w:val="20"/>
          <w:szCs w:val="22"/>
        </w:rPr>
        <mc:AlternateContent>
          <mc:Choice Requires="wps">
            <w:drawing>
              <wp:anchor distT="0" distB="0" distL="114300" distR="114300" simplePos="0" relativeHeight="251757056" behindDoc="0" locked="0" layoutInCell="1" allowOverlap="1" wp14:anchorId="6F931C70" wp14:editId="79B6DB43">
                <wp:simplePos x="0" y="0"/>
                <wp:positionH relativeFrom="column">
                  <wp:posOffset>-90805</wp:posOffset>
                </wp:positionH>
                <wp:positionV relativeFrom="paragraph">
                  <wp:posOffset>64439</wp:posOffset>
                </wp:positionV>
                <wp:extent cx="6629400" cy="807720"/>
                <wp:effectExtent l="0" t="0" r="0" b="0"/>
                <wp:wrapNone/>
                <wp:docPr id="59" name="TextBox 1"/>
                <wp:cNvGraphicFramePr/>
                <a:graphic xmlns:a="http://schemas.openxmlformats.org/drawingml/2006/main">
                  <a:graphicData uri="http://schemas.microsoft.com/office/word/2010/wordprocessingShape">
                    <wps:wsp>
                      <wps:cNvSpPr txBox="1"/>
                      <wps:spPr>
                        <a:xfrm>
                          <a:off x="0" y="0"/>
                          <a:ext cx="6629400" cy="807720"/>
                        </a:xfrm>
                        <a:prstGeom prst="rect">
                          <a:avLst/>
                        </a:prstGeom>
                        <a:noFill/>
                        <a:effectLst>
                          <a:outerShdw blurRad="101600" dist="76200" dir="2700000" algn="tl" rotWithShape="0">
                            <a:prstClr val="black">
                              <a:alpha val="30000"/>
                            </a:prstClr>
                          </a:outerShdw>
                        </a:effectLst>
                      </wps:spPr>
                      <wps:txbx>
                        <w:txbxContent>
                          <w:p w:rsidR="00CE6E80" w:rsidRDefault="00CE6E80" w:rsidP="00D21526">
                            <w:pPr>
                              <w:pStyle w:val="NormalWeb"/>
                            </w:pPr>
                            <w:r>
                              <w:rPr>
                                <w:rFonts w:ascii="Arial Black" w:hAnsi="Arial Black" w:cstheme="minorBidi"/>
                                <w:color w:val="000000" w:themeColor="text1"/>
                                <w:kern w:val="24"/>
                                <w:sz w:val="80"/>
                                <w:szCs w:val="80"/>
                              </w:rPr>
                              <w:t>O</w:t>
                            </w:r>
                            <w:r>
                              <w:rPr>
                                <w:rFonts w:ascii="Arial Black" w:hAnsi="Arial Black" w:cstheme="minorBidi"/>
                                <w:color w:val="000000" w:themeColor="text1"/>
                                <w:kern w:val="24"/>
                                <w:sz w:val="56"/>
                                <w:szCs w:val="56"/>
                              </w:rPr>
                              <w:t xml:space="preserve">RA </w:t>
                            </w:r>
                            <w:r>
                              <w:rPr>
                                <w:rFonts w:ascii="Arial Black" w:hAnsi="Arial Black" w:cstheme="minorBidi"/>
                                <w:color w:val="000000" w:themeColor="text1"/>
                                <w:kern w:val="24"/>
                                <w:sz w:val="80"/>
                                <w:szCs w:val="80"/>
                              </w:rPr>
                              <w:t>R</w:t>
                            </w:r>
                            <w:r>
                              <w:rPr>
                                <w:rFonts w:ascii="Arial Black" w:hAnsi="Arial Black" w:cstheme="minorBidi"/>
                                <w:color w:val="000000" w:themeColor="text1"/>
                                <w:kern w:val="24"/>
                                <w:sz w:val="56"/>
                                <w:szCs w:val="56"/>
                              </w:rPr>
                              <w:t xml:space="preserve">eport </w:t>
                            </w:r>
                            <w:r>
                              <w:rPr>
                                <w:rFonts w:ascii="Arial Black" w:hAnsi="Arial Black" w:cstheme="minorBidi"/>
                                <w:color w:val="000000" w:themeColor="text1"/>
                                <w:kern w:val="24"/>
                                <w:sz w:val="48"/>
                                <w:szCs w:val="48"/>
                              </w:rPr>
                              <w:t xml:space="preserve">to the </w:t>
                            </w:r>
                            <w:r>
                              <w:rPr>
                                <w:rFonts w:ascii="Arial Black" w:hAnsi="Arial Black" w:cstheme="minorBidi"/>
                                <w:color w:val="000000" w:themeColor="text1"/>
                                <w:kern w:val="24"/>
                                <w:sz w:val="80"/>
                                <w:szCs w:val="80"/>
                              </w:rPr>
                              <w:t>L</w:t>
                            </w:r>
                            <w:r>
                              <w:rPr>
                                <w:rFonts w:ascii="Arial Black" w:hAnsi="Arial Black" w:cstheme="minorBidi"/>
                                <w:color w:val="000000" w:themeColor="text1"/>
                                <w:kern w:val="24"/>
                                <w:sz w:val="56"/>
                                <w:szCs w:val="56"/>
                              </w:rPr>
                              <w:t>egislature</w:t>
                            </w:r>
                          </w:p>
                        </w:txbxContent>
                      </wps:txbx>
                      <wps:bodyPr wrap="square" rtlCol="0">
                        <a:spAutoFit/>
                      </wps:bodyPr>
                    </wps:wsp>
                  </a:graphicData>
                </a:graphic>
              </wp:anchor>
            </w:drawing>
          </mc:Choice>
          <mc:Fallback>
            <w:pict>
              <v:shape id="TextBox 1" o:spid="_x0000_s1054" type="#_x0000_t202" style="position:absolute;margin-left:-7.15pt;margin-top:5.05pt;width:522pt;height:63.6pt;z-index:2517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" filled="f" stroked="f">
                <v:shadow on="t" color="black" opacity="19660f" origin="-.5,-.5" offset="1.49672mm,1.49672mm"/>
                <v:textbox style="mso-fit-shape-to-text:t">
                  <w:txbxContent>
                    <w:p w:rsidR="00CE6E80" w:rsidRDefault="00CE6E80" w:rsidP="00D21526">
                      <w:pPr>
                        <w:pStyle w:val="NormalWeb"/>
                      </w:pPr>
                      <w:r>
                        <w:rPr>
                          <w:rFonts w:ascii="Arial Black" w:hAnsi="Arial Black" w:cstheme="minorBidi"/>
                          <w:color w:val="000000" w:themeColor="text1"/>
                          <w:kern w:val="24"/>
                          <w:sz w:val="80"/>
                          <w:szCs w:val="80"/>
                        </w:rPr>
                        <w:t>O</w:t>
                      </w:r>
                      <w:r>
                        <w:rPr>
                          <w:rFonts w:ascii="Arial Black" w:hAnsi="Arial Black" w:cstheme="minorBidi"/>
                          <w:color w:val="000000" w:themeColor="text1"/>
                          <w:kern w:val="24"/>
                          <w:sz w:val="56"/>
                          <w:szCs w:val="56"/>
                        </w:rPr>
                        <w:t xml:space="preserve">RA </w:t>
                      </w:r>
                      <w:r>
                        <w:rPr>
                          <w:rFonts w:ascii="Arial Black" w:hAnsi="Arial Black" w:cstheme="minorBidi"/>
                          <w:color w:val="000000" w:themeColor="text1"/>
                          <w:kern w:val="24"/>
                          <w:sz w:val="80"/>
                          <w:szCs w:val="80"/>
                        </w:rPr>
                        <w:t>R</w:t>
                      </w:r>
                      <w:r>
                        <w:rPr>
                          <w:rFonts w:ascii="Arial Black" w:hAnsi="Arial Black" w:cstheme="minorBidi"/>
                          <w:color w:val="000000" w:themeColor="text1"/>
                          <w:kern w:val="24"/>
                          <w:sz w:val="56"/>
                          <w:szCs w:val="56"/>
                        </w:rPr>
                        <w:t xml:space="preserve">eport </w:t>
                      </w:r>
                      <w:r>
                        <w:rPr>
                          <w:rFonts w:ascii="Arial Black" w:hAnsi="Arial Black" w:cstheme="minorBidi"/>
                          <w:color w:val="000000" w:themeColor="text1"/>
                          <w:kern w:val="24"/>
                          <w:sz w:val="48"/>
                          <w:szCs w:val="48"/>
                        </w:rPr>
                        <w:t xml:space="preserve">to the </w:t>
                      </w:r>
                      <w:r>
                        <w:rPr>
                          <w:rFonts w:ascii="Arial Black" w:hAnsi="Arial Black" w:cstheme="minorBidi"/>
                          <w:color w:val="000000" w:themeColor="text1"/>
                          <w:kern w:val="24"/>
                          <w:sz w:val="80"/>
                          <w:szCs w:val="80"/>
                        </w:rPr>
                        <w:t>L</w:t>
                      </w:r>
                      <w:r>
                        <w:rPr>
                          <w:rFonts w:ascii="Arial Black" w:hAnsi="Arial Black" w:cstheme="minorBidi"/>
                          <w:color w:val="000000" w:themeColor="text1"/>
                          <w:kern w:val="24"/>
                          <w:sz w:val="56"/>
                          <w:szCs w:val="56"/>
                        </w:rPr>
                        <w:t>egislature</w:t>
                      </w:r>
                    </w:p>
                  </w:txbxContent>
                </v:textbox>
              </v:shape>
            </w:pict>
          </mc:Fallback>
        </mc:AlternateContent>
      </w:r>
    </w:p>
    <w:p w:rsidR="002D6B09" w:rsidRDefault="002D6B09" w:rsidP="00106DE4">
      <w:pPr>
        <w:rPr>
          <w:rFonts w:ascii="Arial" w:hAnsi="Arial" w:cs="Arial"/>
          <w:sz w:val="20"/>
          <w:szCs w:val="20"/>
        </w:rPr>
      </w:pPr>
    </w:p>
    <w:p w:rsidR="002D6B09" w:rsidRDefault="002D6B09" w:rsidP="00106DE4">
      <w:pPr>
        <w:rPr>
          <w:rFonts w:ascii="Arial" w:hAnsi="Arial" w:cs="Arial"/>
          <w:sz w:val="20"/>
          <w:szCs w:val="20"/>
        </w:rPr>
      </w:pPr>
    </w:p>
    <w:p w:rsidR="00106DE4" w:rsidRDefault="00106DE4" w:rsidP="00106DE4">
      <w:pPr>
        <w:rPr>
          <w:rFonts w:ascii="Arial" w:hAnsi="Arial" w:cs="Arial"/>
          <w:sz w:val="20"/>
          <w:szCs w:val="20"/>
        </w:rPr>
      </w:pPr>
    </w:p>
    <w:p w:rsidR="00106DE4" w:rsidRDefault="00106DE4" w:rsidP="00106DE4">
      <w:pPr>
        <w:rPr>
          <w:rFonts w:ascii="Arial" w:hAnsi="Arial" w:cs="Arial"/>
          <w:sz w:val="20"/>
          <w:szCs w:val="20"/>
        </w:rPr>
      </w:pPr>
    </w:p>
    <w:p w:rsidR="00106DE4" w:rsidRDefault="00F50234" w:rsidP="00106DE4">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82656" behindDoc="0" locked="0" layoutInCell="1" allowOverlap="1" wp14:anchorId="77068CCD" wp14:editId="5154913A">
                <wp:simplePos x="0" y="0"/>
                <wp:positionH relativeFrom="column">
                  <wp:posOffset>294005</wp:posOffset>
                </wp:positionH>
                <wp:positionV relativeFrom="paragraph">
                  <wp:posOffset>102539</wp:posOffset>
                </wp:positionV>
                <wp:extent cx="1484630" cy="1440180"/>
                <wp:effectExtent l="0" t="0" r="0" b="7620"/>
                <wp:wrapNone/>
                <wp:docPr id="5175" name="Text Box 5175"/>
                <wp:cNvGraphicFramePr/>
                <a:graphic xmlns:a="http://schemas.openxmlformats.org/drawingml/2006/main">
                  <a:graphicData uri="http://schemas.microsoft.com/office/word/2010/wordprocessingShape">
                    <wps:wsp>
                      <wps:cNvSpPr txBox="1"/>
                      <wps:spPr>
                        <a:xfrm>
                          <a:off x="0" y="0"/>
                          <a:ext cx="1484630" cy="1440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80" w:rsidRDefault="00CE6E80">
                            <w:r>
                              <w:rPr>
                                <w:rFonts w:ascii="Arial" w:hAnsi="Arial" w:cs="Arial"/>
                                <w:noProof/>
                                <w:sz w:val="20"/>
                                <w:szCs w:val="20"/>
                              </w:rPr>
                              <w:drawing>
                                <wp:inline distT="0" distB="0" distL="0" distR="0" wp14:anchorId="5D0E2B85" wp14:editId="03A88162">
                                  <wp:extent cx="1301176" cy="1347746"/>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plug.png"/>
                                          <pic:cNvPicPr/>
                                        </pic:nvPicPr>
                                        <pic:blipFill>
                                          <a:blip r:embed="rId39">
                                            <a:extLst>
                                              <a:ext uri="{28A0092B-C50C-407E-A947-70E740481C1C}">
                                                <a14:useLocalDpi xmlns:a14="http://schemas.microsoft.com/office/drawing/2010/main" val="0"/>
                                              </a:ext>
                                            </a:extLst>
                                          </a:blip>
                                          <a:stretch>
                                            <a:fillRect/>
                                          </a:stretch>
                                        </pic:blipFill>
                                        <pic:spPr>
                                          <a:xfrm>
                                            <a:off x="0" y="0"/>
                                            <a:ext cx="1309186" cy="13560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75" o:spid="_x0000_s1055" type="#_x0000_t202" style="position:absolute;margin-left:23.15pt;margin-top:8.05pt;width:116.9pt;height:113.4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" filled="f" stroked="f" strokeweight=".5pt">
                <v:textbox>
                  <w:txbxContent>
                    <w:p w:rsidR="00CE6E80" w:rsidRDefault="00CE6E80">
                      <w:r>
                        <w:rPr>
                          <w:rFonts w:ascii="Arial" w:hAnsi="Arial" w:cs="Arial"/>
                          <w:noProof/>
                          <w:sz w:val="20"/>
                          <w:szCs w:val="20"/>
                        </w:rPr>
                        <w:drawing>
                          <wp:inline distT="0" distB="0" distL="0" distR="0" wp14:anchorId="5D0E2B85" wp14:editId="03A88162">
                            <wp:extent cx="1301176" cy="1347746"/>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plug.png"/>
                                    <pic:cNvPicPr/>
                                  </pic:nvPicPr>
                                  <pic:blipFill>
                                    <a:blip r:embed="rId40">
                                      <a:extLst>
                                        <a:ext uri="{28A0092B-C50C-407E-A947-70E740481C1C}">
                                          <a14:useLocalDpi xmlns:a14="http://schemas.microsoft.com/office/drawing/2010/main" val="0"/>
                                        </a:ext>
                                      </a:extLst>
                                    </a:blip>
                                    <a:stretch>
                                      <a:fillRect/>
                                    </a:stretch>
                                  </pic:blipFill>
                                  <pic:spPr>
                                    <a:xfrm>
                                      <a:off x="0" y="0"/>
                                      <a:ext cx="1309186" cy="1356043"/>
                                    </a:xfrm>
                                    <a:prstGeom prst="rect">
                                      <a:avLst/>
                                    </a:prstGeom>
                                  </pic:spPr>
                                </pic:pic>
                              </a:graphicData>
                            </a:graphic>
                          </wp:inline>
                        </w:drawing>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83680" behindDoc="0" locked="0" layoutInCell="1" allowOverlap="1" wp14:anchorId="3454488B" wp14:editId="206FDA9C">
                <wp:simplePos x="0" y="0"/>
                <wp:positionH relativeFrom="column">
                  <wp:posOffset>1946275</wp:posOffset>
                </wp:positionH>
                <wp:positionV relativeFrom="paragraph">
                  <wp:posOffset>106984</wp:posOffset>
                </wp:positionV>
                <wp:extent cx="1600200" cy="14763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600200" cy="147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80" w:rsidRDefault="00CE6E80">
                            <w:r>
                              <w:rPr>
                                <w:noProof/>
                              </w:rPr>
                              <w:drawing>
                                <wp:inline distT="0" distB="0" distL="0" distR="0" wp14:anchorId="72784DF0" wp14:editId="0C52D904">
                                  <wp:extent cx="1339436" cy="134377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wave.png"/>
                                          <pic:cNvPicPr/>
                                        </pic:nvPicPr>
                                        <pic:blipFill>
                                          <a:blip r:embed="rId41">
                                            <a:extLst>
                                              <a:ext uri="{28A0092B-C50C-407E-A947-70E740481C1C}">
                                                <a14:useLocalDpi xmlns:a14="http://schemas.microsoft.com/office/drawing/2010/main" val="0"/>
                                              </a:ext>
                                            </a:extLst>
                                          </a:blip>
                                          <a:stretch>
                                            <a:fillRect/>
                                          </a:stretch>
                                        </pic:blipFill>
                                        <pic:spPr>
                                          <a:xfrm>
                                            <a:off x="0" y="0"/>
                                            <a:ext cx="1357757" cy="1362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56" type="#_x0000_t202" style="position:absolute;margin-left:153.25pt;margin-top:8.4pt;width:126pt;height:116.25pt;z-index:25178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" filled="f" stroked="f" strokeweight=".5pt">
                <v:textbox>
                  <w:txbxContent>
                    <w:p w:rsidR="00CE6E80" w:rsidRDefault="00CE6E80">
                      <w:r>
                        <w:rPr>
                          <w:noProof/>
                        </w:rPr>
                        <w:drawing>
                          <wp:inline distT="0" distB="0" distL="0" distR="0" wp14:anchorId="72784DF0" wp14:editId="0C52D904">
                            <wp:extent cx="1339436" cy="134377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wave.png"/>
                                    <pic:cNvPicPr/>
                                  </pic:nvPicPr>
                                  <pic:blipFill>
                                    <a:blip r:embed="rId42">
                                      <a:extLst>
                                        <a:ext uri="{28A0092B-C50C-407E-A947-70E740481C1C}">
                                          <a14:useLocalDpi xmlns:a14="http://schemas.microsoft.com/office/drawing/2010/main" val="0"/>
                                        </a:ext>
                                      </a:extLst>
                                    </a:blip>
                                    <a:stretch>
                                      <a:fillRect/>
                                    </a:stretch>
                                  </pic:blipFill>
                                  <pic:spPr>
                                    <a:xfrm>
                                      <a:off x="0" y="0"/>
                                      <a:ext cx="1357757" cy="1362150"/>
                                    </a:xfrm>
                                    <a:prstGeom prst="rect">
                                      <a:avLst/>
                                    </a:prstGeom>
                                  </pic:spPr>
                                </pic:pic>
                              </a:graphicData>
                            </a:graphic>
                          </wp:inline>
                        </w:drawing>
                      </w:r>
                    </w:p>
                  </w:txbxContent>
                </v:textbox>
              </v:shape>
            </w:pict>
          </mc:Fallback>
        </mc:AlternateContent>
      </w:r>
    </w:p>
    <w:p w:rsidR="00106DE4" w:rsidRDefault="00106DE4" w:rsidP="00106DE4">
      <w:pPr>
        <w:rPr>
          <w:rFonts w:ascii="Arial" w:hAnsi="Arial" w:cs="Arial"/>
          <w:sz w:val="20"/>
          <w:szCs w:val="20"/>
        </w:rPr>
      </w:pPr>
    </w:p>
    <w:p w:rsidR="00050DB1" w:rsidRDefault="00050DB1" w:rsidP="00106DE4">
      <w:pPr>
        <w:rPr>
          <w:rFonts w:ascii="Arial" w:hAnsi="Arial" w:cs="Arial"/>
          <w:sz w:val="20"/>
          <w:szCs w:val="20"/>
        </w:rPr>
      </w:pPr>
    </w:p>
    <w:p w:rsidR="00050DB1" w:rsidRDefault="00050DB1" w:rsidP="00106DE4">
      <w:pPr>
        <w:rPr>
          <w:rFonts w:ascii="Arial" w:hAnsi="Arial" w:cs="Arial"/>
          <w:sz w:val="20"/>
          <w:szCs w:val="20"/>
        </w:rPr>
      </w:pPr>
    </w:p>
    <w:p w:rsidR="00050DB1" w:rsidRDefault="00050DB1" w:rsidP="00106DE4">
      <w:pPr>
        <w:rPr>
          <w:rFonts w:ascii="Arial" w:hAnsi="Arial" w:cs="Arial"/>
          <w:sz w:val="20"/>
          <w:szCs w:val="20"/>
        </w:rPr>
      </w:pPr>
    </w:p>
    <w:p w:rsidR="00953AD6" w:rsidRDefault="00953AD6" w:rsidP="008C6668">
      <w:pPr>
        <w:rPr>
          <w:rFonts w:ascii="Arial Black" w:hAnsi="Arial Black"/>
          <w:color w:val="4F81BD" w:themeColor="accent1"/>
          <w:szCs w:val="22"/>
        </w:rPr>
      </w:pPr>
    </w:p>
    <w:p w:rsidR="00953AD6" w:rsidRDefault="00953AD6" w:rsidP="005511B8">
      <w:pPr>
        <w:autoSpaceDE w:val="0"/>
        <w:autoSpaceDN w:val="0"/>
        <w:adjustRightInd w:val="0"/>
        <w:spacing w:after="120" w:line="288" w:lineRule="auto"/>
        <w:rPr>
          <w:rFonts w:ascii="Arial Black" w:hAnsi="Arial Black"/>
          <w:color w:val="4F81BD" w:themeColor="accent1"/>
          <w:szCs w:val="22"/>
        </w:rPr>
      </w:pPr>
    </w:p>
    <w:p w:rsidR="00953AD6" w:rsidRDefault="00953AD6" w:rsidP="005511B8">
      <w:pPr>
        <w:autoSpaceDE w:val="0"/>
        <w:autoSpaceDN w:val="0"/>
        <w:adjustRightInd w:val="0"/>
        <w:spacing w:after="120" w:line="288" w:lineRule="auto"/>
        <w:rPr>
          <w:rFonts w:ascii="Arial Black" w:hAnsi="Arial Black"/>
          <w:color w:val="4F81BD" w:themeColor="accent1"/>
          <w:szCs w:val="22"/>
        </w:rPr>
      </w:pPr>
    </w:p>
    <w:p w:rsidR="00953AD6" w:rsidRDefault="00F50234" w:rsidP="005511B8">
      <w:pPr>
        <w:autoSpaceDE w:val="0"/>
        <w:autoSpaceDN w:val="0"/>
        <w:adjustRightInd w:val="0"/>
        <w:spacing w:after="120" w:line="288" w:lineRule="auto"/>
        <w:rPr>
          <w:rFonts w:ascii="Arial Black" w:hAnsi="Arial Black"/>
          <w:color w:val="4F81BD" w:themeColor="accent1"/>
          <w:szCs w:val="22"/>
        </w:rPr>
      </w:pPr>
      <w:r>
        <w:rPr>
          <w:rFonts w:ascii="Arial" w:hAnsi="Arial" w:cs="Arial"/>
          <w:noProof/>
          <w:sz w:val="20"/>
          <w:szCs w:val="20"/>
        </w:rPr>
        <mc:AlternateContent>
          <mc:Choice Requires="wps">
            <w:drawing>
              <wp:anchor distT="0" distB="0" distL="114300" distR="114300" simplePos="0" relativeHeight="251785728" behindDoc="0" locked="0" layoutInCell="1" allowOverlap="1" wp14:anchorId="7E224B8A" wp14:editId="04B8E82B">
                <wp:simplePos x="0" y="0"/>
                <wp:positionH relativeFrom="column">
                  <wp:posOffset>66675</wp:posOffset>
                </wp:positionH>
                <wp:positionV relativeFrom="paragraph">
                  <wp:posOffset>312089</wp:posOffset>
                </wp:positionV>
                <wp:extent cx="1600200" cy="147637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600200" cy="147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80" w:rsidRDefault="00CE6E80" w:rsidP="00FF6F93">
                            <w:r>
                              <w:rPr>
                                <w:noProof/>
                              </w:rPr>
                              <w:drawing>
                                <wp:inline distT="0" distB="0" distL="0" distR="0" wp14:anchorId="615C266C" wp14:editId="273AF160">
                                  <wp:extent cx="1281057" cy="133581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phone.png"/>
                                          <pic:cNvPicPr/>
                                        </pic:nvPicPr>
                                        <pic:blipFill>
                                          <a:blip r:embed="rId43">
                                            <a:extLst>
                                              <a:ext uri="{28A0092B-C50C-407E-A947-70E740481C1C}">
                                                <a14:useLocalDpi xmlns:a14="http://schemas.microsoft.com/office/drawing/2010/main" val="0"/>
                                              </a:ext>
                                            </a:extLst>
                                          </a:blip>
                                          <a:stretch>
                                            <a:fillRect/>
                                          </a:stretch>
                                        </pic:blipFill>
                                        <pic:spPr>
                                          <a:xfrm>
                                            <a:off x="0" y="0"/>
                                            <a:ext cx="1283860" cy="13387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57" type="#_x0000_t202" style="position:absolute;margin-left:5.25pt;margin-top:24.55pt;width:126pt;height:116.25pt;z-index:2517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" filled="f" stroked="f" strokeweight=".5pt">
                <v:textbox>
                  <w:txbxContent>
                    <w:p w:rsidR="00CE6E80" w:rsidRDefault="00CE6E80" w:rsidP="00FF6F93">
                      <w:r>
                        <w:rPr>
                          <w:noProof/>
                        </w:rPr>
                        <w:drawing>
                          <wp:inline distT="0" distB="0" distL="0" distR="0" wp14:anchorId="615C266C" wp14:editId="273AF160">
                            <wp:extent cx="1281057" cy="133581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phone.png"/>
                                    <pic:cNvPicPr/>
                                  </pic:nvPicPr>
                                  <pic:blipFill>
                                    <a:blip r:embed="rId44">
                                      <a:extLst>
                                        <a:ext uri="{28A0092B-C50C-407E-A947-70E740481C1C}">
                                          <a14:useLocalDpi xmlns:a14="http://schemas.microsoft.com/office/drawing/2010/main" val="0"/>
                                        </a:ext>
                                      </a:extLst>
                                    </a:blip>
                                    <a:stretch>
                                      <a:fillRect/>
                                    </a:stretch>
                                  </pic:blipFill>
                                  <pic:spPr>
                                    <a:xfrm>
                                      <a:off x="0" y="0"/>
                                      <a:ext cx="1283860" cy="1338742"/>
                                    </a:xfrm>
                                    <a:prstGeom prst="rect">
                                      <a:avLst/>
                                    </a:prstGeom>
                                  </pic:spPr>
                                </pic:pic>
                              </a:graphicData>
                            </a:graphic>
                          </wp:inline>
                        </w:drawing>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87776" behindDoc="0" locked="0" layoutInCell="1" allowOverlap="1" wp14:anchorId="44AF76FD" wp14:editId="1A7498AF">
                <wp:simplePos x="0" y="0"/>
                <wp:positionH relativeFrom="column">
                  <wp:posOffset>1668145</wp:posOffset>
                </wp:positionH>
                <wp:positionV relativeFrom="paragraph">
                  <wp:posOffset>317804</wp:posOffset>
                </wp:positionV>
                <wp:extent cx="1600200" cy="14763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600200" cy="147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80" w:rsidRDefault="00CE6E80" w:rsidP="0058314F">
                            <w:r>
                              <w:rPr>
                                <w:noProof/>
                              </w:rPr>
                              <w:drawing>
                                <wp:inline distT="0" distB="0" distL="0" distR="0" wp14:anchorId="1B4AB82F" wp14:editId="1C88A16B">
                                  <wp:extent cx="1278172" cy="1328344"/>
                                  <wp:effectExtent l="0" t="0" r="0" b="5715"/>
                                  <wp:docPr id="5162" name="Picture 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people.png"/>
                                          <pic:cNvPicPr/>
                                        </pic:nvPicPr>
                                        <pic:blipFill>
                                          <a:blip r:embed="rId45">
                                            <a:extLst>
                                              <a:ext uri="{28A0092B-C50C-407E-A947-70E740481C1C}">
                                                <a14:useLocalDpi xmlns:a14="http://schemas.microsoft.com/office/drawing/2010/main" val="0"/>
                                              </a:ext>
                                            </a:extLst>
                                          </a:blip>
                                          <a:stretch>
                                            <a:fillRect/>
                                          </a:stretch>
                                        </pic:blipFill>
                                        <pic:spPr>
                                          <a:xfrm>
                                            <a:off x="0" y="0"/>
                                            <a:ext cx="1280968" cy="1331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 o:spid="_x0000_s1058" type="#_x0000_t202" style="position:absolute;margin-left:131.35pt;margin-top:25pt;width:126pt;height:116.25pt;z-index:25178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" filled="f" stroked="f" strokeweight=".5pt">
                <v:textbox>
                  <w:txbxContent>
                    <w:p w:rsidR="00CE6E80" w:rsidRDefault="00CE6E80" w:rsidP="0058314F">
                      <w:r>
                        <w:rPr>
                          <w:noProof/>
                        </w:rPr>
                        <w:drawing>
                          <wp:inline distT="0" distB="0" distL="0" distR="0" wp14:anchorId="1B4AB82F" wp14:editId="1C88A16B">
                            <wp:extent cx="1278172" cy="1328344"/>
                            <wp:effectExtent l="0" t="0" r="0" b="5715"/>
                            <wp:docPr id="5162" name="Picture 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people.png"/>
                                    <pic:cNvPicPr/>
                                  </pic:nvPicPr>
                                  <pic:blipFill>
                                    <a:blip r:embed="rId46">
                                      <a:extLst>
                                        <a:ext uri="{28A0092B-C50C-407E-A947-70E740481C1C}">
                                          <a14:useLocalDpi xmlns:a14="http://schemas.microsoft.com/office/drawing/2010/main" val="0"/>
                                        </a:ext>
                                      </a:extLst>
                                    </a:blip>
                                    <a:stretch>
                                      <a:fillRect/>
                                    </a:stretch>
                                  </pic:blipFill>
                                  <pic:spPr>
                                    <a:xfrm>
                                      <a:off x="0" y="0"/>
                                      <a:ext cx="1280968" cy="1331250"/>
                                    </a:xfrm>
                                    <a:prstGeom prst="rect">
                                      <a:avLst/>
                                    </a:prstGeom>
                                  </pic:spPr>
                                </pic:pic>
                              </a:graphicData>
                            </a:graphic>
                          </wp:inline>
                        </w:drawing>
                      </w:r>
                    </w:p>
                  </w:txbxContent>
                </v:textbox>
              </v:shape>
            </w:pict>
          </mc:Fallback>
        </mc:AlternateContent>
      </w:r>
    </w:p>
    <w:p w:rsidR="00953AD6" w:rsidRDefault="00953AD6" w:rsidP="005511B8">
      <w:pPr>
        <w:autoSpaceDE w:val="0"/>
        <w:autoSpaceDN w:val="0"/>
        <w:adjustRightInd w:val="0"/>
        <w:spacing w:after="120" w:line="288" w:lineRule="auto"/>
        <w:rPr>
          <w:rFonts w:ascii="Arial Black" w:hAnsi="Arial Black"/>
          <w:color w:val="4F81BD" w:themeColor="accent1"/>
          <w:szCs w:val="22"/>
        </w:rPr>
      </w:pPr>
    </w:p>
    <w:p w:rsidR="00953AD6" w:rsidRDefault="00953AD6" w:rsidP="005511B8">
      <w:pPr>
        <w:autoSpaceDE w:val="0"/>
        <w:autoSpaceDN w:val="0"/>
        <w:adjustRightInd w:val="0"/>
        <w:spacing w:after="120" w:line="288" w:lineRule="auto"/>
        <w:rPr>
          <w:rFonts w:ascii="Arial Black" w:hAnsi="Arial Black"/>
          <w:color w:val="4F81BD" w:themeColor="accent1"/>
          <w:szCs w:val="22"/>
        </w:rPr>
      </w:pPr>
    </w:p>
    <w:p w:rsidR="00953AD6" w:rsidRDefault="00953AD6" w:rsidP="005511B8">
      <w:pPr>
        <w:autoSpaceDE w:val="0"/>
        <w:autoSpaceDN w:val="0"/>
        <w:adjustRightInd w:val="0"/>
        <w:spacing w:after="120" w:line="288" w:lineRule="auto"/>
        <w:rPr>
          <w:rFonts w:ascii="Arial Black" w:hAnsi="Arial Black"/>
          <w:color w:val="4F81BD" w:themeColor="accent1"/>
          <w:szCs w:val="22"/>
        </w:rPr>
      </w:pPr>
    </w:p>
    <w:p w:rsidR="00315B52" w:rsidRDefault="00315B52" w:rsidP="00315B52">
      <w:pPr>
        <w:ind w:right="-306"/>
        <w:rPr>
          <w:rFonts w:ascii="Arial" w:hAnsi="Arial" w:cs="Arial"/>
          <w:sz w:val="20"/>
          <w:szCs w:val="20"/>
        </w:rPr>
        <w:sectPr w:rsidR="00315B52" w:rsidSect="003D4D3D">
          <w:footerReference w:type="even" r:id="rId47"/>
          <w:footerReference w:type="default" r:id="rId48"/>
          <w:type w:val="continuous"/>
          <w:pgSz w:w="12240" w:h="15840" w:code="1"/>
          <w:pgMar w:top="720" w:right="936" w:bottom="720" w:left="936" w:header="720" w:footer="432" w:gutter="0"/>
          <w:cols w:num="2" w:space="576"/>
          <w:docGrid w:linePitch="360"/>
        </w:sectPr>
      </w:pPr>
    </w:p>
    <w:p w:rsidR="00D21526" w:rsidRDefault="00315B52" w:rsidP="00315B52">
      <w:pPr>
        <w:spacing w:after="120"/>
        <w:ind w:right="-302"/>
        <w:rPr>
          <w:rFonts w:ascii="Arial" w:hAnsi="Arial" w:cs="Arial"/>
          <w:sz w:val="20"/>
          <w:szCs w:val="22"/>
        </w:rPr>
      </w:pPr>
      <w:r w:rsidRPr="00956DCD">
        <w:rPr>
          <w:rFonts w:ascii="Arial" w:hAnsi="Arial" w:cs="Arial"/>
          <w:sz w:val="18"/>
          <w:szCs w:val="20"/>
        </w:rPr>
        <w:lastRenderedPageBreak/>
        <w:t xml:space="preserve">       </w:t>
      </w:r>
    </w:p>
    <w:p w:rsidR="00315B52" w:rsidRPr="00956DCD" w:rsidRDefault="00315B52" w:rsidP="00F50234">
      <w:pPr>
        <w:spacing w:before="360" w:after="120"/>
        <w:ind w:right="-302"/>
        <w:jc w:val="both"/>
        <w:rPr>
          <w:rFonts w:ascii="Arial" w:hAnsi="Arial" w:cs="Arial"/>
          <w:sz w:val="20"/>
          <w:szCs w:val="22"/>
        </w:rPr>
      </w:pPr>
      <w:r w:rsidRPr="00956DCD">
        <w:rPr>
          <w:rFonts w:ascii="Arial" w:hAnsi="Arial" w:cs="Arial"/>
          <w:sz w:val="20"/>
          <w:szCs w:val="22"/>
        </w:rPr>
        <w:t>On</w:t>
      </w:r>
      <w:r w:rsidRPr="00956DCD">
        <w:rPr>
          <w:rFonts w:ascii="Verdana" w:hAnsi="Verdana" w:cs="Arial"/>
          <w:sz w:val="20"/>
          <w:szCs w:val="22"/>
        </w:rPr>
        <w:t xml:space="preserve"> </w:t>
      </w:r>
      <w:r w:rsidRPr="00956DCD">
        <w:rPr>
          <w:rFonts w:ascii="Arial" w:hAnsi="Arial" w:cs="Arial"/>
          <w:sz w:val="20"/>
          <w:szCs w:val="22"/>
        </w:rPr>
        <w:t>or before January 10 of each year, the Office of Ratepayer Advocates (ORA) is required to provide to the Legislature:</w:t>
      </w:r>
      <w:r w:rsidRPr="00956DCD">
        <w:rPr>
          <w:rStyle w:val="FootnoteReference"/>
          <w:rFonts w:ascii="Arial" w:hAnsi="Arial" w:cs="Arial"/>
          <w:sz w:val="20"/>
          <w:szCs w:val="22"/>
        </w:rPr>
        <w:footnoteReference w:id="3"/>
      </w:r>
    </w:p>
    <w:p w:rsidR="00315B52" w:rsidRPr="00956DCD" w:rsidRDefault="00525AB6" w:rsidP="00C266C1">
      <w:pPr>
        <w:numPr>
          <w:ilvl w:val="0"/>
          <w:numId w:val="18"/>
        </w:numPr>
        <w:spacing w:after="120"/>
        <w:jc w:val="both"/>
        <w:rPr>
          <w:rFonts w:ascii="Arial" w:hAnsi="Arial" w:cs="Arial"/>
          <w:sz w:val="20"/>
          <w:szCs w:val="22"/>
        </w:rPr>
      </w:pPr>
      <w:r w:rsidRPr="00525AB6">
        <w:rPr>
          <w:rFonts w:ascii="Arial Black" w:hAnsi="Arial Black" w:cs="Arial"/>
          <w:b/>
          <w:sz w:val="20"/>
          <w:szCs w:val="22"/>
        </w:rPr>
        <w:t>Staff:</w:t>
      </w:r>
      <w:r>
        <w:rPr>
          <w:rFonts w:ascii="Arial" w:hAnsi="Arial" w:cs="Arial"/>
          <w:sz w:val="20"/>
          <w:szCs w:val="22"/>
        </w:rPr>
        <w:t xml:space="preserve">  </w:t>
      </w:r>
      <w:r w:rsidR="00315B52" w:rsidRPr="00956DCD">
        <w:rPr>
          <w:rFonts w:ascii="Arial" w:hAnsi="Arial" w:cs="Arial"/>
          <w:sz w:val="20"/>
          <w:szCs w:val="22"/>
        </w:rPr>
        <w:t>The number of personnel years assigned to ORA and a comparison of the staffing levels for a five-year period.</w:t>
      </w:r>
    </w:p>
    <w:p w:rsidR="00315B52" w:rsidRPr="00956DCD" w:rsidRDefault="00525AB6" w:rsidP="00C266C1">
      <w:pPr>
        <w:numPr>
          <w:ilvl w:val="0"/>
          <w:numId w:val="18"/>
        </w:numPr>
        <w:spacing w:after="120"/>
        <w:jc w:val="both"/>
        <w:rPr>
          <w:rFonts w:ascii="Arial" w:hAnsi="Arial" w:cs="Arial"/>
          <w:sz w:val="20"/>
          <w:szCs w:val="22"/>
        </w:rPr>
      </w:pPr>
      <w:r w:rsidRPr="00525AB6">
        <w:rPr>
          <w:rFonts w:ascii="Arial Black" w:hAnsi="Arial Black" w:cs="Arial"/>
          <w:b/>
          <w:sz w:val="20"/>
          <w:szCs w:val="22"/>
        </w:rPr>
        <w:t>Budget:</w:t>
      </w:r>
      <w:r>
        <w:rPr>
          <w:rFonts w:ascii="Arial" w:hAnsi="Arial" w:cs="Arial"/>
          <w:sz w:val="20"/>
          <w:szCs w:val="22"/>
        </w:rPr>
        <w:t xml:space="preserve"> </w:t>
      </w:r>
      <w:r w:rsidR="00315B52" w:rsidRPr="00956DCD">
        <w:rPr>
          <w:rFonts w:ascii="Arial" w:hAnsi="Arial" w:cs="Arial"/>
          <w:sz w:val="20"/>
          <w:szCs w:val="22"/>
        </w:rPr>
        <w:t>The total dollars expended by ORA in the prior year, estimated total dollars expended in the current year, and the total dollars proposed for appropriation in the following budget year.</w:t>
      </w:r>
    </w:p>
    <w:p w:rsidR="00315B52" w:rsidRPr="00956DCD" w:rsidRDefault="00525AB6" w:rsidP="00C266C1">
      <w:pPr>
        <w:numPr>
          <w:ilvl w:val="0"/>
          <w:numId w:val="18"/>
        </w:numPr>
        <w:jc w:val="both"/>
        <w:rPr>
          <w:rFonts w:ascii="Kalinga" w:hAnsi="Kalinga" w:cs="Kalinga"/>
          <w:sz w:val="20"/>
          <w:szCs w:val="22"/>
        </w:rPr>
      </w:pPr>
      <w:r w:rsidRPr="00525AB6">
        <w:rPr>
          <w:rFonts w:ascii="Arial Black" w:hAnsi="Arial Black" w:cs="Arial"/>
          <w:b/>
          <w:sz w:val="20"/>
          <w:szCs w:val="22"/>
        </w:rPr>
        <w:t>Metrics:</w:t>
      </w:r>
      <w:r>
        <w:rPr>
          <w:rFonts w:ascii="Arial" w:hAnsi="Arial" w:cs="Arial"/>
          <w:sz w:val="20"/>
          <w:szCs w:val="22"/>
        </w:rPr>
        <w:t xml:space="preserve">  </w:t>
      </w:r>
      <w:r w:rsidR="00315B52" w:rsidRPr="00956DCD">
        <w:rPr>
          <w:rFonts w:ascii="Arial" w:hAnsi="Arial" w:cs="Arial"/>
          <w:sz w:val="20"/>
          <w:szCs w:val="22"/>
        </w:rPr>
        <w:t>Workload standards and measures for ORA</w:t>
      </w:r>
      <w:r w:rsidR="00315B52" w:rsidRPr="00956DCD">
        <w:rPr>
          <w:rFonts w:ascii="Kalinga" w:hAnsi="Kalinga" w:cs="Kalinga"/>
          <w:sz w:val="20"/>
          <w:szCs w:val="22"/>
        </w:rPr>
        <w:t>.</w:t>
      </w:r>
    </w:p>
    <w:p w:rsidR="00315B52" w:rsidRPr="00301BC3" w:rsidRDefault="00315B52" w:rsidP="00315B52">
      <w:pPr>
        <w:rPr>
          <w:rFonts w:ascii="Kalinga" w:hAnsi="Kalinga" w:cs="Kalinga"/>
          <w:color w:val="000080"/>
          <w:szCs w:val="28"/>
        </w:rPr>
      </w:pPr>
    </w:p>
    <w:p w:rsidR="00315B52" w:rsidRDefault="00315B52" w:rsidP="00315B52">
      <w:pPr>
        <w:spacing w:after="120"/>
        <w:jc w:val="both"/>
        <w:rPr>
          <w:rFonts w:ascii="Kalinga" w:hAnsi="Kalinga" w:cs="Kalinga"/>
          <w:sz w:val="22"/>
          <w:szCs w:val="22"/>
        </w:rPr>
      </w:pPr>
      <w:r>
        <w:rPr>
          <w:rFonts w:ascii="Century Gothic" w:hAnsi="Century Gothic"/>
          <w:noProof/>
          <w:sz w:val="20"/>
          <w:szCs w:val="20"/>
        </w:rPr>
        <mc:AlternateContent>
          <mc:Choice Requires="wps">
            <w:drawing>
              <wp:inline distT="0" distB="0" distL="0" distR="0" wp14:anchorId="06124413" wp14:editId="05CA3FDC">
                <wp:extent cx="6438900" cy="286385"/>
                <wp:effectExtent l="0" t="0" r="0" b="0"/>
                <wp:docPr id="23" name="Text Box 5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86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E80" w:rsidRPr="00794222" w:rsidRDefault="00CE6E80" w:rsidP="00315B52">
                            <w:pPr>
                              <w:rPr>
                                <w:rFonts w:ascii="Arial Black" w:hAnsi="Arial Black"/>
                                <w:color w:val="FFFFFF"/>
                              </w:rPr>
                            </w:pPr>
                            <w:r>
                              <w:rPr>
                                <w:rFonts w:ascii="Arial Black" w:eastAsia="Adobe Heiti Std R" w:hAnsi="Arial Black"/>
                                <w:b/>
                                <w:color w:val="FFFFFF"/>
                              </w:rPr>
                              <w:t>ORA’s Staff</w:t>
                            </w:r>
                          </w:p>
                          <w:p w:rsidR="00CE6E80" w:rsidRPr="00794222" w:rsidRDefault="00CE6E80" w:rsidP="00315B52">
                            <w:pPr>
                              <w:spacing w:before="120"/>
                              <w:rPr>
                                <w:rFonts w:ascii="Arial Black" w:hAnsi="Arial Black"/>
                              </w:rPr>
                            </w:pPr>
                          </w:p>
                          <w:p w:rsidR="00CE6E80" w:rsidRPr="00794222" w:rsidRDefault="00CE6E80" w:rsidP="00315B52">
                            <w:pPr>
                              <w:spacing w:before="120"/>
                              <w:rPr>
                                <w:rFonts w:ascii="Arial Black" w:hAnsi="Arial Black"/>
                                <w:color w:val="003399"/>
                              </w:rPr>
                            </w:pPr>
                            <w:r w:rsidRPr="00794222">
                              <w:rPr>
                                <w:rFonts w:ascii="Arial Black" w:eastAsia="Adobe Heiti Std R" w:hAnsi="Arial Black"/>
                                <w:b/>
                                <w:color w:val="003399"/>
                              </w:rPr>
                              <w:t>PG&amp;E</w:t>
                            </w:r>
                          </w:p>
                        </w:txbxContent>
                      </wps:txbx>
                      <wps:bodyPr rot="0" vert="horz" wrap="square" lIns="91440" tIns="45720" rIns="91440" bIns="45720" anchor="t" anchorCtr="0" upright="1">
                        <a:noAutofit/>
                      </wps:bodyPr>
                    </wps:wsp>
                  </a:graphicData>
                </a:graphic>
              </wp:inline>
            </w:drawing>
          </mc:Choice>
          <mc:Fallback>
            <w:pict>
              <v:shape id="Text Box 5279" o:spid="_x0000_s1059" type="#_x0000_t202" style="width:507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" fillcolor="black" stroked="f">
                <v:textbox>
                  <w:txbxContent>
                    <w:p w:rsidR="00CE6E80" w:rsidRPr="00794222" w:rsidRDefault="00CE6E80" w:rsidP="00315B52">
                      <w:pPr>
                        <w:rPr>
                          <w:rFonts w:ascii="Arial Black" w:hAnsi="Arial Black"/>
                          <w:color w:val="FFFFFF"/>
                        </w:rPr>
                      </w:pPr>
                      <w:r>
                        <w:rPr>
                          <w:rFonts w:ascii="Arial Black" w:eastAsia="Adobe Heiti Std R" w:hAnsi="Arial Black"/>
                          <w:b/>
                          <w:color w:val="FFFFFF"/>
                        </w:rPr>
                        <w:t>ORA’s Staff</w:t>
                      </w:r>
                    </w:p>
                    <w:p w:rsidR="00CE6E80" w:rsidRPr="00794222" w:rsidRDefault="00CE6E80" w:rsidP="00315B52">
                      <w:pPr>
                        <w:spacing w:before="120"/>
                        <w:rPr>
                          <w:rFonts w:ascii="Arial Black" w:hAnsi="Arial Black"/>
                        </w:rPr>
                      </w:pPr>
                    </w:p>
                    <w:p w:rsidR="00CE6E80" w:rsidRPr="00794222" w:rsidRDefault="00CE6E80" w:rsidP="00315B52">
                      <w:pPr>
                        <w:spacing w:before="120"/>
                        <w:rPr>
                          <w:rFonts w:ascii="Arial Black" w:hAnsi="Arial Black"/>
                          <w:color w:val="003399"/>
                        </w:rPr>
                      </w:pPr>
                      <w:r w:rsidRPr="00794222">
                        <w:rPr>
                          <w:rFonts w:ascii="Arial Black" w:eastAsia="Adobe Heiti Std R" w:hAnsi="Arial Black"/>
                          <w:b/>
                          <w:color w:val="003399"/>
                        </w:rPr>
                        <w:t>PG&amp;E</w:t>
                      </w:r>
                    </w:p>
                  </w:txbxContent>
                </v:textbox>
                <w10:anchorlock/>
              </v:shape>
            </w:pict>
          </mc:Fallback>
        </mc:AlternateContent>
      </w:r>
    </w:p>
    <w:p w:rsidR="00315B52" w:rsidRDefault="00315B52" w:rsidP="00FB253D">
      <w:pPr>
        <w:spacing w:before="120" w:after="240"/>
        <w:jc w:val="both"/>
        <w:rPr>
          <w:rFonts w:ascii="Arial" w:hAnsi="Arial" w:cs="Arial"/>
          <w:sz w:val="20"/>
          <w:szCs w:val="22"/>
        </w:rPr>
      </w:pPr>
      <w:r w:rsidRPr="00956DCD">
        <w:rPr>
          <w:rFonts w:ascii="Arial" w:hAnsi="Arial" w:cs="Arial"/>
          <w:sz w:val="20"/>
          <w:szCs w:val="22"/>
        </w:rPr>
        <w:t>ORA currently has 147 authorized positions.</w:t>
      </w:r>
      <w:r w:rsidRPr="00956DCD">
        <w:rPr>
          <w:rStyle w:val="FootnoteReference"/>
          <w:rFonts w:ascii="Arial" w:hAnsi="Arial" w:cs="Arial"/>
          <w:sz w:val="20"/>
          <w:szCs w:val="22"/>
        </w:rPr>
        <w:footnoteReference w:id="4"/>
      </w:r>
      <w:r w:rsidRPr="00956DCD">
        <w:rPr>
          <w:rFonts w:ascii="Arial" w:hAnsi="Arial" w:cs="Arial"/>
          <w:sz w:val="20"/>
          <w:szCs w:val="22"/>
        </w:rPr>
        <w:t xml:space="preserve"> At its peak, ORA was comprised of eleven branches with over 200 employees. The table below provides a comparison of current staffing levels with those over the past five years.</w:t>
      </w:r>
    </w:p>
    <w:p w:rsidR="00315B52" w:rsidRPr="008F27A1" w:rsidRDefault="00FB253D" w:rsidP="00FB253D">
      <w:pPr>
        <w:spacing w:before="120" w:after="60"/>
        <w:jc w:val="center"/>
        <w:rPr>
          <w:rFonts w:ascii="Arial" w:hAnsi="Arial" w:cs="Arial"/>
          <w:b/>
          <w:bCs/>
          <w:color w:val="000080"/>
          <w:sz w:val="20"/>
          <w:szCs w:val="20"/>
        </w:rPr>
      </w:pPr>
      <w:r>
        <w:rPr>
          <w:rFonts w:ascii="Arial" w:hAnsi="Arial" w:cs="Arial"/>
          <w:b/>
          <w:bCs/>
          <w:sz w:val="20"/>
          <w:szCs w:val="20"/>
        </w:rPr>
        <w:t>ORA Staffing Levels for a 5-Year Period</w:t>
      </w:r>
      <w:r w:rsidR="00315B52">
        <w:rPr>
          <w:rFonts w:ascii="Arial" w:hAnsi="Arial" w:cs="Arial"/>
          <w:b/>
          <w:bCs/>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44061"/>
        <w:tblLook w:val="01E0" w:firstRow="1" w:lastRow="1" w:firstColumn="1" w:lastColumn="1" w:noHBand="0" w:noVBand="0"/>
      </w:tblPr>
      <w:tblGrid>
        <w:gridCol w:w="1788"/>
        <w:gridCol w:w="1567"/>
        <w:gridCol w:w="2966"/>
      </w:tblGrid>
      <w:tr w:rsidR="00315B52" w:rsidRPr="00D21526" w:rsidTr="00D21526">
        <w:trPr>
          <w:trHeight w:val="288"/>
          <w:jc w:val="center"/>
        </w:trPr>
        <w:tc>
          <w:tcPr>
            <w:tcW w:w="1788" w:type="dxa"/>
            <w:tcBorders>
              <w:top w:val="single" w:sz="18" w:space="0" w:color="FFFFFF"/>
              <w:left w:val="single" w:sz="18" w:space="0" w:color="FFFFFF"/>
              <w:bottom w:val="single" w:sz="18" w:space="0" w:color="FFFFFF"/>
              <w:right w:val="single" w:sz="18" w:space="0" w:color="FFFFFF"/>
            </w:tcBorders>
            <w:shd w:val="clear" w:color="auto" w:fill="1F497D" w:themeFill="text2"/>
            <w:vAlign w:val="center"/>
          </w:tcPr>
          <w:p w:rsidR="00315B52" w:rsidRPr="00D21526" w:rsidRDefault="00315B52" w:rsidP="00D21526">
            <w:pPr>
              <w:jc w:val="center"/>
              <w:rPr>
                <w:rFonts w:ascii="Arial" w:hAnsi="Arial" w:cs="Arial"/>
                <w:b/>
                <w:color w:val="FFFFFF" w:themeColor="background1"/>
                <w:sz w:val="18"/>
                <w:szCs w:val="20"/>
              </w:rPr>
            </w:pPr>
            <w:r w:rsidRPr="00D21526">
              <w:rPr>
                <w:rFonts w:ascii="Arial" w:hAnsi="Arial" w:cs="Arial"/>
                <w:b/>
                <w:color w:val="FFFFFF" w:themeColor="background1"/>
                <w:sz w:val="18"/>
                <w:szCs w:val="20"/>
              </w:rPr>
              <w:t>Fiscal Year</w:t>
            </w:r>
          </w:p>
        </w:tc>
        <w:tc>
          <w:tcPr>
            <w:tcW w:w="1567" w:type="dxa"/>
            <w:tcBorders>
              <w:top w:val="single" w:sz="18" w:space="0" w:color="FFFFFF"/>
              <w:left w:val="single" w:sz="18" w:space="0" w:color="FFFFFF"/>
              <w:bottom w:val="single" w:sz="18" w:space="0" w:color="FFFFFF"/>
              <w:right w:val="single" w:sz="18" w:space="0" w:color="FFFFFF"/>
            </w:tcBorders>
            <w:shd w:val="clear" w:color="auto" w:fill="1F497D" w:themeFill="text2"/>
            <w:vAlign w:val="center"/>
          </w:tcPr>
          <w:p w:rsidR="00315B52" w:rsidRPr="00D21526" w:rsidRDefault="00315B52" w:rsidP="00D21526">
            <w:pPr>
              <w:jc w:val="center"/>
              <w:rPr>
                <w:rFonts w:ascii="Arial" w:hAnsi="Arial" w:cs="Arial"/>
                <w:b/>
                <w:color w:val="FFFFFF" w:themeColor="background1"/>
                <w:sz w:val="18"/>
                <w:szCs w:val="20"/>
              </w:rPr>
            </w:pPr>
            <w:r w:rsidRPr="00D21526">
              <w:rPr>
                <w:rFonts w:ascii="Arial" w:hAnsi="Arial" w:cs="Arial"/>
                <w:b/>
                <w:color w:val="FFFFFF" w:themeColor="background1"/>
                <w:sz w:val="18"/>
                <w:szCs w:val="20"/>
              </w:rPr>
              <w:t>Total ORA Staff</w:t>
            </w:r>
          </w:p>
        </w:tc>
        <w:tc>
          <w:tcPr>
            <w:tcW w:w="2966" w:type="dxa"/>
            <w:tcBorders>
              <w:top w:val="single" w:sz="18" w:space="0" w:color="FFFFFF"/>
              <w:left w:val="single" w:sz="18" w:space="0" w:color="FFFFFF"/>
              <w:bottom w:val="single" w:sz="18" w:space="0" w:color="FFFFFF"/>
              <w:right w:val="single" w:sz="18" w:space="0" w:color="FFFFFF"/>
            </w:tcBorders>
            <w:shd w:val="clear" w:color="auto" w:fill="1F497D" w:themeFill="text2"/>
            <w:vAlign w:val="center"/>
          </w:tcPr>
          <w:p w:rsidR="00315B52" w:rsidRPr="00D21526" w:rsidRDefault="00315B52" w:rsidP="00D21526">
            <w:pPr>
              <w:jc w:val="center"/>
              <w:rPr>
                <w:rFonts w:ascii="Arial" w:hAnsi="Arial" w:cs="Arial"/>
                <w:b/>
                <w:color w:val="FFFFFF" w:themeColor="background1"/>
                <w:sz w:val="18"/>
                <w:szCs w:val="20"/>
              </w:rPr>
            </w:pPr>
            <w:r w:rsidRPr="00D21526">
              <w:rPr>
                <w:rFonts w:ascii="Arial" w:hAnsi="Arial" w:cs="Arial"/>
                <w:b/>
                <w:color w:val="FFFFFF" w:themeColor="background1"/>
                <w:sz w:val="18"/>
                <w:szCs w:val="20"/>
              </w:rPr>
              <w:t>Explanation</w:t>
            </w:r>
          </w:p>
        </w:tc>
      </w:tr>
      <w:tr w:rsidR="001C7048" w:rsidRPr="00D21526" w:rsidTr="00881C6B">
        <w:trPr>
          <w:trHeight w:val="432"/>
          <w:jc w:val="center"/>
        </w:trPr>
        <w:tc>
          <w:tcPr>
            <w:tcW w:w="1788" w:type="dxa"/>
            <w:tcBorders>
              <w:top w:val="single" w:sz="18" w:space="0" w:color="FFFFFF"/>
              <w:left w:val="single" w:sz="18" w:space="0" w:color="FFFFFF"/>
              <w:bottom w:val="single" w:sz="18" w:space="0" w:color="FFFFFF"/>
              <w:right w:val="single" w:sz="18" w:space="0" w:color="FFFFFF"/>
            </w:tcBorders>
            <w:shd w:val="clear" w:color="auto" w:fill="DBE5F1" w:themeFill="accent1" w:themeFillTint="33"/>
            <w:vAlign w:val="center"/>
          </w:tcPr>
          <w:p w:rsidR="001C7048" w:rsidRPr="00D21526" w:rsidRDefault="001C7048" w:rsidP="00D21526">
            <w:pPr>
              <w:jc w:val="center"/>
              <w:rPr>
                <w:rFonts w:ascii="Arial" w:hAnsi="Arial" w:cs="Arial"/>
                <w:sz w:val="18"/>
                <w:szCs w:val="20"/>
                <w:highlight w:val="yellow"/>
              </w:rPr>
            </w:pPr>
            <w:r w:rsidRPr="00D21526">
              <w:rPr>
                <w:rFonts w:ascii="Arial" w:hAnsi="Arial" w:cs="Arial"/>
                <w:sz w:val="18"/>
                <w:szCs w:val="20"/>
              </w:rPr>
              <w:t>2012 / 2013</w:t>
            </w:r>
          </w:p>
        </w:tc>
        <w:tc>
          <w:tcPr>
            <w:tcW w:w="1567" w:type="dxa"/>
            <w:tcBorders>
              <w:top w:val="single" w:sz="18" w:space="0" w:color="FFFFFF"/>
              <w:left w:val="single" w:sz="18" w:space="0" w:color="FFFFFF"/>
              <w:bottom w:val="single" w:sz="18" w:space="0" w:color="FFFFFF"/>
              <w:right w:val="single" w:sz="18" w:space="0" w:color="FFFFFF"/>
            </w:tcBorders>
            <w:shd w:val="clear" w:color="auto" w:fill="DBE5F1" w:themeFill="accent1" w:themeFillTint="33"/>
            <w:vAlign w:val="center"/>
          </w:tcPr>
          <w:p w:rsidR="001C7048" w:rsidRPr="00D21526" w:rsidRDefault="001C7048" w:rsidP="00D21526">
            <w:pPr>
              <w:jc w:val="center"/>
              <w:rPr>
                <w:rFonts w:ascii="Arial" w:hAnsi="Arial" w:cs="Arial"/>
                <w:sz w:val="18"/>
                <w:szCs w:val="20"/>
              </w:rPr>
            </w:pPr>
            <w:r w:rsidRPr="00D21526">
              <w:rPr>
                <w:rFonts w:ascii="Arial" w:hAnsi="Arial" w:cs="Arial"/>
                <w:sz w:val="18"/>
                <w:szCs w:val="20"/>
              </w:rPr>
              <w:t>137</w:t>
            </w:r>
          </w:p>
        </w:tc>
        <w:tc>
          <w:tcPr>
            <w:tcW w:w="2966" w:type="dxa"/>
            <w:tcBorders>
              <w:top w:val="single" w:sz="18" w:space="0" w:color="FFFFFF"/>
              <w:left w:val="single" w:sz="18" w:space="0" w:color="FFFFFF"/>
              <w:bottom w:val="single" w:sz="18" w:space="0" w:color="FFFFFF"/>
              <w:right w:val="single" w:sz="18" w:space="0" w:color="FFFFFF"/>
            </w:tcBorders>
            <w:shd w:val="clear" w:color="auto" w:fill="DBE5F1" w:themeFill="accent1" w:themeFillTint="33"/>
            <w:vAlign w:val="center"/>
          </w:tcPr>
          <w:p w:rsidR="001C7048" w:rsidRPr="00D21526" w:rsidRDefault="001C7048" w:rsidP="00D21526">
            <w:pPr>
              <w:jc w:val="center"/>
              <w:rPr>
                <w:rFonts w:ascii="Arial" w:hAnsi="Arial" w:cs="Arial"/>
                <w:sz w:val="18"/>
                <w:szCs w:val="20"/>
              </w:rPr>
            </w:pPr>
            <w:r w:rsidRPr="00D21526">
              <w:rPr>
                <w:rFonts w:ascii="Arial" w:hAnsi="Arial" w:cs="Arial"/>
                <w:sz w:val="18"/>
                <w:szCs w:val="20"/>
              </w:rPr>
              <w:t>Reduction by Executive Order</w:t>
            </w:r>
          </w:p>
        </w:tc>
      </w:tr>
      <w:tr w:rsidR="001C7048" w:rsidRPr="00D21526" w:rsidTr="00FB253D">
        <w:trPr>
          <w:trHeight w:val="1008"/>
          <w:jc w:val="center"/>
        </w:trPr>
        <w:tc>
          <w:tcPr>
            <w:tcW w:w="1788" w:type="dxa"/>
            <w:tcBorders>
              <w:top w:val="single" w:sz="18" w:space="0" w:color="FFFFFF"/>
              <w:left w:val="single" w:sz="18" w:space="0" w:color="FFFFFF"/>
              <w:bottom w:val="single" w:sz="18" w:space="0" w:color="FFFFFF"/>
              <w:right w:val="single" w:sz="18" w:space="0" w:color="FFFFFF"/>
            </w:tcBorders>
            <w:shd w:val="clear" w:color="auto" w:fill="DBE5F1" w:themeFill="accent1" w:themeFillTint="33"/>
            <w:vAlign w:val="center"/>
          </w:tcPr>
          <w:p w:rsidR="001C7048" w:rsidRPr="00D21526" w:rsidRDefault="001C7048" w:rsidP="00D21526">
            <w:pPr>
              <w:jc w:val="center"/>
              <w:rPr>
                <w:rFonts w:ascii="Arial" w:hAnsi="Arial" w:cs="Arial"/>
                <w:sz w:val="18"/>
                <w:szCs w:val="20"/>
              </w:rPr>
            </w:pPr>
            <w:r w:rsidRPr="00D21526">
              <w:rPr>
                <w:rFonts w:ascii="Arial" w:hAnsi="Arial" w:cs="Arial"/>
                <w:sz w:val="18"/>
                <w:szCs w:val="20"/>
              </w:rPr>
              <w:t>2013 / 2014</w:t>
            </w:r>
          </w:p>
        </w:tc>
        <w:tc>
          <w:tcPr>
            <w:tcW w:w="1567" w:type="dxa"/>
            <w:tcBorders>
              <w:top w:val="single" w:sz="18" w:space="0" w:color="FFFFFF"/>
              <w:left w:val="single" w:sz="18" w:space="0" w:color="FFFFFF"/>
              <w:bottom w:val="single" w:sz="18" w:space="0" w:color="FFFFFF"/>
              <w:right w:val="single" w:sz="18" w:space="0" w:color="FFFFFF"/>
            </w:tcBorders>
            <w:shd w:val="clear" w:color="auto" w:fill="DBE5F1" w:themeFill="accent1" w:themeFillTint="33"/>
            <w:vAlign w:val="center"/>
          </w:tcPr>
          <w:p w:rsidR="001C7048" w:rsidRPr="00D21526" w:rsidRDefault="001C7048" w:rsidP="00D21526">
            <w:pPr>
              <w:jc w:val="center"/>
              <w:rPr>
                <w:rFonts w:ascii="Arial" w:hAnsi="Arial" w:cs="Arial"/>
                <w:sz w:val="18"/>
                <w:szCs w:val="20"/>
              </w:rPr>
            </w:pPr>
            <w:r w:rsidRPr="00D21526">
              <w:rPr>
                <w:rFonts w:ascii="Arial" w:hAnsi="Arial" w:cs="Arial"/>
                <w:sz w:val="18"/>
                <w:szCs w:val="20"/>
              </w:rPr>
              <w:t>142</w:t>
            </w:r>
          </w:p>
        </w:tc>
        <w:tc>
          <w:tcPr>
            <w:tcW w:w="2966" w:type="dxa"/>
            <w:tcBorders>
              <w:top w:val="single" w:sz="18" w:space="0" w:color="FFFFFF"/>
              <w:left w:val="single" w:sz="18" w:space="0" w:color="FFFFFF"/>
              <w:bottom w:val="single" w:sz="18" w:space="0" w:color="FFFFFF"/>
              <w:right w:val="single" w:sz="18" w:space="0" w:color="FFFFFF"/>
            </w:tcBorders>
            <w:shd w:val="clear" w:color="auto" w:fill="DBE5F1" w:themeFill="accent1" w:themeFillTint="33"/>
            <w:vAlign w:val="center"/>
          </w:tcPr>
          <w:p w:rsidR="001C7048" w:rsidRPr="00D21526" w:rsidRDefault="001C7048" w:rsidP="00C97C2B">
            <w:pPr>
              <w:spacing w:before="60" w:after="60" w:line="264" w:lineRule="auto"/>
              <w:jc w:val="center"/>
              <w:rPr>
                <w:rFonts w:ascii="Arial" w:hAnsi="Arial" w:cs="Arial"/>
                <w:sz w:val="18"/>
                <w:szCs w:val="20"/>
              </w:rPr>
            </w:pPr>
            <w:r w:rsidRPr="00FB253D">
              <w:rPr>
                <w:rFonts w:ascii="Arial" w:hAnsi="Arial" w:cs="Arial"/>
                <w:sz w:val="18"/>
                <w:szCs w:val="20"/>
              </w:rPr>
              <w:t>4</w:t>
            </w:r>
            <w:r w:rsidRPr="00D21526">
              <w:rPr>
                <w:rFonts w:ascii="Arial" w:hAnsi="Arial" w:cs="Arial"/>
                <w:sz w:val="18"/>
                <w:szCs w:val="20"/>
              </w:rPr>
              <w:t xml:space="preserve"> Financial Examiners = (2) Water; (</w:t>
            </w:r>
            <w:r w:rsidR="008C21EA">
              <w:rPr>
                <w:rFonts w:ascii="Arial" w:hAnsi="Arial" w:cs="Arial"/>
                <w:sz w:val="18"/>
                <w:szCs w:val="20"/>
              </w:rPr>
              <w:t>1</w:t>
            </w:r>
            <w:r w:rsidRPr="00D21526">
              <w:rPr>
                <w:rFonts w:ascii="Arial" w:hAnsi="Arial" w:cs="Arial"/>
                <w:sz w:val="18"/>
                <w:szCs w:val="20"/>
              </w:rPr>
              <w:t xml:space="preserve">) </w:t>
            </w:r>
            <w:r w:rsidR="008C21EA" w:rsidRPr="00FB253D">
              <w:rPr>
                <w:rFonts w:ascii="Arial" w:hAnsi="Arial" w:cs="Arial"/>
                <w:sz w:val="18"/>
                <w:szCs w:val="20"/>
              </w:rPr>
              <w:t>Gas Safety</w:t>
            </w:r>
            <w:r w:rsidR="008C21EA">
              <w:rPr>
                <w:rFonts w:ascii="Arial" w:hAnsi="Arial" w:cs="Arial"/>
                <w:sz w:val="18"/>
                <w:szCs w:val="20"/>
              </w:rPr>
              <w:t>; (1)</w:t>
            </w:r>
            <w:r w:rsidR="008C21EA" w:rsidRPr="00D21526">
              <w:rPr>
                <w:rFonts w:ascii="Arial" w:hAnsi="Arial" w:cs="Arial"/>
                <w:sz w:val="18"/>
                <w:szCs w:val="20"/>
              </w:rPr>
              <w:t xml:space="preserve"> Electricity Resource Recovery Accounting</w:t>
            </w:r>
            <w:r w:rsidR="008C21EA">
              <w:rPr>
                <w:rFonts w:ascii="Arial" w:hAnsi="Arial" w:cs="Arial"/>
                <w:sz w:val="18"/>
                <w:szCs w:val="20"/>
              </w:rPr>
              <w:t xml:space="preserve"> </w:t>
            </w:r>
            <w:r w:rsidRPr="00D21526">
              <w:rPr>
                <w:rFonts w:ascii="Arial" w:hAnsi="Arial" w:cs="Arial"/>
                <w:sz w:val="18"/>
                <w:szCs w:val="20"/>
              </w:rPr>
              <w:br/>
            </w:r>
            <w:r w:rsidR="008C21EA">
              <w:rPr>
                <w:rFonts w:ascii="Arial" w:hAnsi="Arial" w:cs="Arial"/>
                <w:sz w:val="18"/>
                <w:szCs w:val="20"/>
              </w:rPr>
              <w:t>1 U</w:t>
            </w:r>
            <w:r w:rsidR="00FB253D">
              <w:rPr>
                <w:rFonts w:ascii="Arial" w:hAnsi="Arial" w:cs="Arial"/>
                <w:sz w:val="18"/>
                <w:szCs w:val="20"/>
              </w:rPr>
              <w:t xml:space="preserve">tility </w:t>
            </w:r>
            <w:r w:rsidR="008C21EA">
              <w:rPr>
                <w:rFonts w:ascii="Arial" w:hAnsi="Arial" w:cs="Arial"/>
                <w:sz w:val="18"/>
                <w:szCs w:val="20"/>
              </w:rPr>
              <w:t>E</w:t>
            </w:r>
            <w:r w:rsidR="00FB253D">
              <w:rPr>
                <w:rFonts w:ascii="Arial" w:hAnsi="Arial" w:cs="Arial"/>
                <w:sz w:val="18"/>
                <w:szCs w:val="20"/>
              </w:rPr>
              <w:t>ngineer</w:t>
            </w:r>
            <w:r w:rsidR="008C21EA">
              <w:rPr>
                <w:rFonts w:ascii="Arial" w:hAnsi="Arial" w:cs="Arial"/>
                <w:sz w:val="18"/>
                <w:szCs w:val="20"/>
              </w:rPr>
              <w:t xml:space="preserve"> – Gas Safety</w:t>
            </w:r>
          </w:p>
        </w:tc>
      </w:tr>
      <w:tr w:rsidR="00FB253D" w:rsidRPr="00D21526" w:rsidTr="00FB253D">
        <w:trPr>
          <w:trHeight w:val="432"/>
          <w:jc w:val="center"/>
        </w:trPr>
        <w:tc>
          <w:tcPr>
            <w:tcW w:w="1788" w:type="dxa"/>
            <w:tcBorders>
              <w:top w:val="single" w:sz="18" w:space="0" w:color="FFFFFF"/>
              <w:left w:val="single" w:sz="18" w:space="0" w:color="FFFFFF"/>
              <w:bottom w:val="single" w:sz="18" w:space="0" w:color="FFFFFF"/>
              <w:right w:val="single" w:sz="18" w:space="0" w:color="FFFFFF"/>
            </w:tcBorders>
            <w:shd w:val="clear" w:color="auto" w:fill="DBE5F1" w:themeFill="accent1" w:themeFillTint="33"/>
            <w:vAlign w:val="center"/>
          </w:tcPr>
          <w:p w:rsidR="00FB253D" w:rsidRPr="00D21526" w:rsidRDefault="00FB253D" w:rsidP="00FB253D">
            <w:pPr>
              <w:jc w:val="center"/>
              <w:rPr>
                <w:rFonts w:ascii="Arial" w:hAnsi="Arial" w:cs="Arial"/>
                <w:sz w:val="18"/>
                <w:szCs w:val="20"/>
              </w:rPr>
            </w:pPr>
            <w:r w:rsidRPr="00D21526">
              <w:rPr>
                <w:rFonts w:ascii="Arial" w:hAnsi="Arial" w:cs="Arial"/>
                <w:sz w:val="18"/>
                <w:szCs w:val="20"/>
              </w:rPr>
              <w:t>2014 / 2015</w:t>
            </w:r>
          </w:p>
          <w:p w:rsidR="00FB253D" w:rsidRPr="00D21526" w:rsidRDefault="00FB253D" w:rsidP="00D21526">
            <w:pPr>
              <w:jc w:val="center"/>
              <w:rPr>
                <w:rFonts w:ascii="Arial" w:hAnsi="Arial" w:cs="Arial"/>
                <w:sz w:val="18"/>
                <w:szCs w:val="20"/>
              </w:rPr>
            </w:pPr>
          </w:p>
        </w:tc>
        <w:tc>
          <w:tcPr>
            <w:tcW w:w="1567" w:type="dxa"/>
            <w:tcBorders>
              <w:top w:val="single" w:sz="18" w:space="0" w:color="FFFFFF"/>
              <w:left w:val="single" w:sz="18" w:space="0" w:color="FFFFFF"/>
              <w:bottom w:val="single" w:sz="18" w:space="0" w:color="FFFFFF"/>
              <w:right w:val="single" w:sz="18" w:space="0" w:color="FFFFFF"/>
            </w:tcBorders>
            <w:shd w:val="clear" w:color="auto" w:fill="DBE5F1" w:themeFill="accent1" w:themeFillTint="33"/>
            <w:vAlign w:val="center"/>
          </w:tcPr>
          <w:p w:rsidR="00FB253D" w:rsidRPr="00D21526" w:rsidRDefault="00FB253D" w:rsidP="00D21526">
            <w:pPr>
              <w:jc w:val="center"/>
              <w:rPr>
                <w:rFonts w:ascii="Arial" w:hAnsi="Arial" w:cs="Arial"/>
                <w:sz w:val="18"/>
                <w:szCs w:val="20"/>
              </w:rPr>
            </w:pPr>
            <w:r w:rsidRPr="00D21526">
              <w:rPr>
                <w:rFonts w:ascii="Arial" w:hAnsi="Arial" w:cs="Arial"/>
                <w:sz w:val="18"/>
                <w:szCs w:val="20"/>
              </w:rPr>
              <w:t>142</w:t>
            </w:r>
          </w:p>
        </w:tc>
        <w:tc>
          <w:tcPr>
            <w:tcW w:w="2966" w:type="dxa"/>
            <w:tcBorders>
              <w:top w:val="single" w:sz="18" w:space="0" w:color="FFFFFF"/>
              <w:left w:val="single" w:sz="18" w:space="0" w:color="FFFFFF"/>
              <w:bottom w:val="single" w:sz="18" w:space="0" w:color="FFFFFF"/>
              <w:right w:val="single" w:sz="18" w:space="0" w:color="FFFFFF"/>
            </w:tcBorders>
            <w:shd w:val="clear" w:color="auto" w:fill="DBE5F1" w:themeFill="accent1" w:themeFillTint="33"/>
            <w:vAlign w:val="center"/>
          </w:tcPr>
          <w:p w:rsidR="00FB253D" w:rsidRPr="00FB253D" w:rsidRDefault="00FB253D" w:rsidP="00FB253D">
            <w:pPr>
              <w:spacing w:line="264" w:lineRule="auto"/>
              <w:jc w:val="center"/>
              <w:rPr>
                <w:rFonts w:ascii="Arial" w:hAnsi="Arial" w:cs="Arial"/>
                <w:sz w:val="18"/>
                <w:szCs w:val="20"/>
              </w:rPr>
            </w:pPr>
            <w:r w:rsidRPr="00D21526">
              <w:rPr>
                <w:rFonts w:ascii="Arial" w:hAnsi="Arial" w:cs="Arial"/>
                <w:sz w:val="18"/>
                <w:szCs w:val="20"/>
              </w:rPr>
              <w:t>No new positions</w:t>
            </w:r>
          </w:p>
        </w:tc>
      </w:tr>
      <w:tr w:rsidR="001C7048" w:rsidRPr="00D21526" w:rsidTr="00D21526">
        <w:trPr>
          <w:trHeight w:val="288"/>
          <w:jc w:val="center"/>
        </w:trPr>
        <w:tc>
          <w:tcPr>
            <w:tcW w:w="1788" w:type="dxa"/>
            <w:tcBorders>
              <w:top w:val="single" w:sz="18" w:space="0" w:color="FFFFFF"/>
              <w:left w:val="single" w:sz="18" w:space="0" w:color="FFFFFF"/>
              <w:bottom w:val="single" w:sz="18" w:space="0" w:color="FFFFFF"/>
              <w:right w:val="single" w:sz="18" w:space="0" w:color="FFFFFF"/>
            </w:tcBorders>
            <w:shd w:val="clear" w:color="auto" w:fill="DBE5F1" w:themeFill="accent1" w:themeFillTint="33"/>
            <w:vAlign w:val="center"/>
          </w:tcPr>
          <w:p w:rsidR="001C7048" w:rsidRPr="00D21526" w:rsidRDefault="001C7048" w:rsidP="00D21526">
            <w:pPr>
              <w:jc w:val="center"/>
              <w:rPr>
                <w:rFonts w:ascii="Arial" w:hAnsi="Arial" w:cs="Arial"/>
                <w:sz w:val="18"/>
                <w:szCs w:val="20"/>
              </w:rPr>
            </w:pPr>
            <w:r w:rsidRPr="00D21526">
              <w:rPr>
                <w:rFonts w:ascii="Arial" w:hAnsi="Arial" w:cs="Arial"/>
                <w:sz w:val="18"/>
                <w:szCs w:val="20"/>
              </w:rPr>
              <w:t>2015 / 2016</w:t>
            </w:r>
          </w:p>
        </w:tc>
        <w:tc>
          <w:tcPr>
            <w:tcW w:w="1567" w:type="dxa"/>
            <w:tcBorders>
              <w:top w:val="single" w:sz="18" w:space="0" w:color="FFFFFF"/>
              <w:left w:val="single" w:sz="18" w:space="0" w:color="FFFFFF"/>
              <w:bottom w:val="single" w:sz="18" w:space="0" w:color="FFFFFF"/>
              <w:right w:val="single" w:sz="18" w:space="0" w:color="FFFFFF"/>
            </w:tcBorders>
            <w:shd w:val="clear" w:color="auto" w:fill="DBE5F1" w:themeFill="accent1" w:themeFillTint="33"/>
            <w:vAlign w:val="center"/>
          </w:tcPr>
          <w:p w:rsidR="001C7048" w:rsidRPr="00D21526" w:rsidRDefault="008C21EA" w:rsidP="00D21526">
            <w:pPr>
              <w:jc w:val="center"/>
              <w:rPr>
                <w:rFonts w:ascii="Arial" w:hAnsi="Arial" w:cs="Arial"/>
                <w:sz w:val="18"/>
                <w:szCs w:val="20"/>
              </w:rPr>
            </w:pPr>
            <w:r w:rsidRPr="00665A93">
              <w:rPr>
                <w:rFonts w:ascii="Arial" w:hAnsi="Arial" w:cs="Arial"/>
                <w:sz w:val="18"/>
                <w:szCs w:val="20"/>
              </w:rPr>
              <w:t>147</w:t>
            </w:r>
          </w:p>
        </w:tc>
        <w:tc>
          <w:tcPr>
            <w:tcW w:w="2966" w:type="dxa"/>
            <w:tcBorders>
              <w:top w:val="single" w:sz="18" w:space="0" w:color="FFFFFF"/>
              <w:left w:val="single" w:sz="18" w:space="0" w:color="FFFFFF"/>
              <w:bottom w:val="single" w:sz="18" w:space="0" w:color="FFFFFF"/>
              <w:right w:val="single" w:sz="18" w:space="0" w:color="FFFFFF"/>
            </w:tcBorders>
            <w:shd w:val="clear" w:color="auto" w:fill="DBE5F1" w:themeFill="accent1" w:themeFillTint="33"/>
            <w:vAlign w:val="center"/>
          </w:tcPr>
          <w:p w:rsidR="00FB253D" w:rsidRPr="00D21526" w:rsidRDefault="00FB253D" w:rsidP="00363429">
            <w:pPr>
              <w:spacing w:before="60" w:line="264" w:lineRule="auto"/>
              <w:jc w:val="center"/>
              <w:rPr>
                <w:rFonts w:ascii="Arial" w:hAnsi="Arial" w:cs="Arial"/>
                <w:sz w:val="18"/>
                <w:szCs w:val="20"/>
              </w:rPr>
            </w:pPr>
            <w:r w:rsidRPr="00D21526">
              <w:rPr>
                <w:rFonts w:ascii="Arial" w:hAnsi="Arial" w:cs="Arial"/>
                <w:sz w:val="18"/>
                <w:szCs w:val="20"/>
              </w:rPr>
              <w:t>2 Utility Engineers</w:t>
            </w:r>
          </w:p>
          <w:p w:rsidR="00FB253D" w:rsidRPr="00D21526" w:rsidRDefault="00FB253D" w:rsidP="00FB253D">
            <w:pPr>
              <w:spacing w:line="264" w:lineRule="auto"/>
              <w:jc w:val="center"/>
              <w:rPr>
                <w:rFonts w:ascii="Arial" w:hAnsi="Arial" w:cs="Arial"/>
                <w:sz w:val="18"/>
                <w:szCs w:val="20"/>
              </w:rPr>
            </w:pPr>
            <w:r>
              <w:rPr>
                <w:rFonts w:ascii="Arial" w:hAnsi="Arial" w:cs="Arial"/>
                <w:sz w:val="18"/>
                <w:szCs w:val="20"/>
              </w:rPr>
              <w:t>1 P</w:t>
            </w:r>
            <w:r w:rsidRPr="00D21526">
              <w:rPr>
                <w:rFonts w:ascii="Arial" w:hAnsi="Arial" w:cs="Arial"/>
                <w:sz w:val="18"/>
                <w:szCs w:val="20"/>
              </w:rPr>
              <w:t>URA</w:t>
            </w:r>
            <w:r>
              <w:rPr>
                <w:rStyle w:val="FootnoteReference"/>
                <w:rFonts w:ascii="Arial" w:hAnsi="Arial" w:cs="Arial"/>
                <w:sz w:val="18"/>
                <w:szCs w:val="20"/>
              </w:rPr>
              <w:footnoteReference w:id="5"/>
            </w:r>
          </w:p>
          <w:p w:rsidR="00FB253D" w:rsidRPr="00D21526" w:rsidRDefault="00FB253D" w:rsidP="00FB253D">
            <w:pPr>
              <w:spacing w:line="264" w:lineRule="auto"/>
              <w:jc w:val="center"/>
              <w:rPr>
                <w:rFonts w:ascii="Arial" w:hAnsi="Arial" w:cs="Arial"/>
                <w:sz w:val="18"/>
                <w:szCs w:val="20"/>
              </w:rPr>
            </w:pPr>
            <w:r w:rsidRPr="00D21526">
              <w:rPr>
                <w:rFonts w:ascii="Arial" w:hAnsi="Arial" w:cs="Arial"/>
                <w:sz w:val="18"/>
                <w:szCs w:val="20"/>
              </w:rPr>
              <w:t>1 Sr. Utility Engineer</w:t>
            </w:r>
          </w:p>
          <w:p w:rsidR="001C7048" w:rsidRPr="00D21526" w:rsidRDefault="00FB253D" w:rsidP="00363429">
            <w:pPr>
              <w:spacing w:after="60"/>
              <w:jc w:val="center"/>
              <w:rPr>
                <w:rFonts w:ascii="Arial" w:hAnsi="Arial" w:cs="Arial"/>
                <w:sz w:val="18"/>
                <w:szCs w:val="20"/>
              </w:rPr>
            </w:pPr>
            <w:r w:rsidRPr="00D21526">
              <w:rPr>
                <w:rFonts w:ascii="Arial" w:hAnsi="Arial" w:cs="Arial"/>
                <w:sz w:val="18"/>
                <w:szCs w:val="20"/>
              </w:rPr>
              <w:t>1 PURA V</w:t>
            </w:r>
          </w:p>
        </w:tc>
      </w:tr>
      <w:tr w:rsidR="001C7048" w:rsidRPr="00D21526" w:rsidTr="00FB253D">
        <w:trPr>
          <w:trHeight w:val="432"/>
          <w:jc w:val="center"/>
        </w:trPr>
        <w:tc>
          <w:tcPr>
            <w:tcW w:w="1788" w:type="dxa"/>
            <w:tcBorders>
              <w:top w:val="single" w:sz="18" w:space="0" w:color="FFFFFF"/>
              <w:left w:val="single" w:sz="18" w:space="0" w:color="FFFFFF"/>
              <w:bottom w:val="single" w:sz="18" w:space="0" w:color="FFFFFF"/>
              <w:right w:val="single" w:sz="18" w:space="0" w:color="FFFFFF"/>
            </w:tcBorders>
            <w:shd w:val="clear" w:color="auto" w:fill="DBE5F1" w:themeFill="accent1" w:themeFillTint="33"/>
            <w:vAlign w:val="center"/>
          </w:tcPr>
          <w:p w:rsidR="001C7048" w:rsidRPr="00D21526" w:rsidRDefault="001C7048" w:rsidP="00FB253D">
            <w:pPr>
              <w:spacing w:line="264" w:lineRule="auto"/>
              <w:jc w:val="center"/>
              <w:rPr>
                <w:rFonts w:ascii="Arial" w:hAnsi="Arial" w:cs="Arial"/>
                <w:sz w:val="18"/>
                <w:szCs w:val="20"/>
              </w:rPr>
            </w:pPr>
            <w:r w:rsidRPr="00D21526">
              <w:rPr>
                <w:rFonts w:ascii="Arial" w:hAnsi="Arial" w:cs="Arial"/>
                <w:sz w:val="18"/>
                <w:szCs w:val="20"/>
              </w:rPr>
              <w:t>2016 / 2017</w:t>
            </w:r>
          </w:p>
        </w:tc>
        <w:tc>
          <w:tcPr>
            <w:tcW w:w="1567" w:type="dxa"/>
            <w:tcBorders>
              <w:top w:val="single" w:sz="18" w:space="0" w:color="FFFFFF"/>
              <w:left w:val="single" w:sz="18" w:space="0" w:color="FFFFFF"/>
              <w:bottom w:val="single" w:sz="18" w:space="0" w:color="FFFFFF"/>
              <w:right w:val="single" w:sz="18" w:space="0" w:color="FFFFFF"/>
            </w:tcBorders>
            <w:shd w:val="clear" w:color="auto" w:fill="DBE5F1" w:themeFill="accent1" w:themeFillTint="33"/>
            <w:vAlign w:val="center"/>
          </w:tcPr>
          <w:p w:rsidR="001C7048" w:rsidRPr="00D21526" w:rsidRDefault="001C7048" w:rsidP="00FB253D">
            <w:pPr>
              <w:spacing w:line="264" w:lineRule="auto"/>
              <w:jc w:val="center"/>
              <w:rPr>
                <w:rFonts w:ascii="Arial" w:hAnsi="Arial" w:cs="Arial"/>
                <w:sz w:val="18"/>
                <w:szCs w:val="20"/>
              </w:rPr>
            </w:pPr>
            <w:r w:rsidRPr="00D21526">
              <w:rPr>
                <w:rFonts w:ascii="Arial" w:hAnsi="Arial" w:cs="Arial"/>
                <w:sz w:val="18"/>
                <w:szCs w:val="20"/>
              </w:rPr>
              <w:t>147</w:t>
            </w:r>
          </w:p>
        </w:tc>
        <w:tc>
          <w:tcPr>
            <w:tcW w:w="2966" w:type="dxa"/>
            <w:tcBorders>
              <w:top w:val="single" w:sz="18" w:space="0" w:color="FFFFFF"/>
              <w:left w:val="single" w:sz="18" w:space="0" w:color="FFFFFF"/>
              <w:bottom w:val="single" w:sz="18" w:space="0" w:color="FFFFFF"/>
              <w:right w:val="single" w:sz="18" w:space="0" w:color="FFFFFF"/>
            </w:tcBorders>
            <w:shd w:val="clear" w:color="auto" w:fill="DBE5F1" w:themeFill="accent1" w:themeFillTint="33"/>
            <w:vAlign w:val="center"/>
          </w:tcPr>
          <w:p w:rsidR="001C7048" w:rsidRPr="00D21526" w:rsidRDefault="00FB253D" w:rsidP="00FB253D">
            <w:pPr>
              <w:spacing w:line="264" w:lineRule="auto"/>
              <w:jc w:val="center"/>
              <w:rPr>
                <w:rFonts w:ascii="Arial" w:hAnsi="Arial" w:cs="Arial"/>
                <w:sz w:val="18"/>
                <w:szCs w:val="20"/>
              </w:rPr>
            </w:pPr>
            <w:r w:rsidRPr="00D21526">
              <w:rPr>
                <w:rFonts w:ascii="Arial" w:hAnsi="Arial" w:cs="Arial"/>
                <w:sz w:val="18"/>
                <w:szCs w:val="20"/>
              </w:rPr>
              <w:t>No new positions</w:t>
            </w:r>
          </w:p>
        </w:tc>
      </w:tr>
    </w:tbl>
    <w:p w:rsidR="00D21526" w:rsidRDefault="003E087C" w:rsidP="00D21526">
      <w:pPr>
        <w:autoSpaceDE w:val="0"/>
        <w:autoSpaceDN w:val="0"/>
        <w:adjustRightInd w:val="0"/>
        <w:spacing w:after="120" w:line="288" w:lineRule="auto"/>
        <w:jc w:val="both"/>
        <w:rPr>
          <w:rFonts w:ascii="Arial" w:hAnsi="Arial" w:cs="Arial"/>
          <w:b/>
          <w:bCs/>
          <w:sz w:val="20"/>
          <w:szCs w:val="22"/>
        </w:rPr>
      </w:pPr>
      <w:r>
        <w:rPr>
          <w:rFonts w:ascii="Arial" w:hAnsi="Arial" w:cs="Arial"/>
          <w:sz w:val="20"/>
          <w:szCs w:val="22"/>
        </w:rPr>
        <w:lastRenderedPageBreak/>
        <w:br/>
      </w:r>
      <w:r w:rsidR="00315B52" w:rsidRPr="00956DCD">
        <w:rPr>
          <w:rFonts w:ascii="Arial" w:hAnsi="Arial" w:cs="Arial"/>
          <w:sz w:val="20"/>
          <w:szCs w:val="22"/>
        </w:rPr>
        <w:t xml:space="preserve">ORA is led by an executive management team, which oversees ORA’s </w:t>
      </w:r>
      <w:r w:rsidR="00315B52" w:rsidRPr="00821D4D">
        <w:rPr>
          <w:rFonts w:ascii="Arial" w:hAnsi="Arial" w:cs="Arial"/>
          <w:sz w:val="20"/>
          <w:szCs w:val="22"/>
        </w:rPr>
        <w:t>six branches</w:t>
      </w:r>
      <w:r w:rsidR="00315B52" w:rsidRPr="00956DCD">
        <w:rPr>
          <w:rFonts w:ascii="Arial" w:hAnsi="Arial" w:cs="Arial"/>
          <w:sz w:val="20"/>
          <w:szCs w:val="22"/>
        </w:rPr>
        <w:t xml:space="preserve"> covering the issues of energy, water, and communications. ORA is served by an acting director pending a decision of the governor on a permanent appointment.</w:t>
      </w:r>
    </w:p>
    <w:p w:rsidR="00315B52" w:rsidRPr="00956DCD" w:rsidRDefault="00315B52" w:rsidP="00315B52">
      <w:pPr>
        <w:autoSpaceDE w:val="0"/>
        <w:autoSpaceDN w:val="0"/>
        <w:adjustRightInd w:val="0"/>
        <w:spacing w:after="120" w:line="288" w:lineRule="auto"/>
        <w:jc w:val="both"/>
        <w:rPr>
          <w:rFonts w:ascii="Arial" w:hAnsi="Arial" w:cs="Arial"/>
          <w:sz w:val="20"/>
          <w:szCs w:val="22"/>
        </w:rPr>
      </w:pPr>
      <w:r w:rsidRPr="00956DCD">
        <w:rPr>
          <w:rFonts w:ascii="Arial" w:hAnsi="Arial" w:cs="Arial"/>
          <w:b/>
          <w:bCs/>
          <w:sz w:val="20"/>
          <w:szCs w:val="22"/>
        </w:rPr>
        <w:t>Acting Director, Joe Como:</w:t>
      </w:r>
      <w:r w:rsidR="00D21526">
        <w:rPr>
          <w:rFonts w:ascii="Arial" w:hAnsi="Arial" w:cs="Arial"/>
          <w:sz w:val="20"/>
          <w:szCs w:val="22"/>
        </w:rPr>
        <w:t xml:space="preserve">  </w:t>
      </w:r>
      <w:r w:rsidR="00D21526" w:rsidRPr="000A4E38">
        <w:rPr>
          <w:rFonts w:ascii="Arial" w:hAnsi="Arial" w:cs="Arial"/>
          <w:sz w:val="20"/>
          <w:szCs w:val="22"/>
        </w:rPr>
        <w:t xml:space="preserve">Joe Como </w:t>
      </w:r>
      <w:r w:rsidRPr="000A4E38">
        <w:rPr>
          <w:rFonts w:ascii="Arial" w:hAnsi="Arial" w:cs="Arial"/>
          <w:sz w:val="20"/>
          <w:szCs w:val="22"/>
        </w:rPr>
        <w:t>serve</w:t>
      </w:r>
      <w:r w:rsidR="00D21526" w:rsidRPr="000A4E38">
        <w:rPr>
          <w:rFonts w:ascii="Arial" w:hAnsi="Arial" w:cs="Arial"/>
          <w:sz w:val="20"/>
          <w:szCs w:val="22"/>
        </w:rPr>
        <w:t xml:space="preserve">d as ORA’s acting director starting in </w:t>
      </w:r>
      <w:r w:rsidRPr="000A4E38">
        <w:rPr>
          <w:rFonts w:ascii="Arial" w:hAnsi="Arial" w:cs="Arial"/>
          <w:sz w:val="20"/>
          <w:szCs w:val="22"/>
        </w:rPr>
        <w:t>August 2010</w:t>
      </w:r>
      <w:r w:rsidR="00D21526" w:rsidRPr="000A4E38">
        <w:rPr>
          <w:rFonts w:ascii="Arial" w:hAnsi="Arial" w:cs="Arial"/>
          <w:sz w:val="20"/>
          <w:szCs w:val="22"/>
        </w:rPr>
        <w:t xml:space="preserve"> and retired from state service at the end of 2015</w:t>
      </w:r>
      <w:r w:rsidRPr="000A4E38">
        <w:rPr>
          <w:rFonts w:ascii="Arial" w:hAnsi="Arial" w:cs="Arial"/>
          <w:sz w:val="20"/>
          <w:szCs w:val="22"/>
        </w:rPr>
        <w:t>. The director manages the activities of four Energy branches,</w:t>
      </w:r>
      <w:r w:rsidRPr="00956DCD">
        <w:rPr>
          <w:rFonts w:ascii="Arial" w:hAnsi="Arial" w:cs="Arial"/>
          <w:sz w:val="20"/>
          <w:szCs w:val="22"/>
        </w:rPr>
        <w:t xml:space="preserve"> the Water branch, and the Communications &amp; Water Policy branch.   </w:t>
      </w:r>
    </w:p>
    <w:p w:rsidR="00315B52" w:rsidRPr="00956DCD" w:rsidRDefault="00315B52" w:rsidP="00315B52">
      <w:pPr>
        <w:spacing w:after="120" w:line="288" w:lineRule="auto"/>
        <w:jc w:val="both"/>
        <w:rPr>
          <w:rFonts w:ascii="Arial" w:hAnsi="Arial" w:cs="Arial"/>
          <w:b/>
          <w:bCs/>
          <w:sz w:val="20"/>
          <w:szCs w:val="22"/>
        </w:rPr>
      </w:pPr>
      <w:r w:rsidRPr="00956DCD">
        <w:rPr>
          <w:rFonts w:ascii="Arial" w:hAnsi="Arial" w:cs="Arial"/>
          <w:b/>
          <w:bCs/>
          <w:sz w:val="20"/>
          <w:szCs w:val="22"/>
        </w:rPr>
        <w:t>Deputy Director / Energy, Linda Serizawa:</w:t>
      </w:r>
      <w:r w:rsidRPr="00956DCD">
        <w:rPr>
          <w:rFonts w:ascii="Arial" w:hAnsi="Arial" w:cs="Arial"/>
          <w:sz w:val="20"/>
          <w:szCs w:val="22"/>
        </w:rPr>
        <w:t xml:space="preserve">  Linda Serizawa oversees the activities of</w:t>
      </w:r>
      <w:r w:rsidR="00B06A8E">
        <w:rPr>
          <w:rFonts w:ascii="Arial" w:hAnsi="Arial" w:cs="Arial"/>
          <w:sz w:val="20"/>
          <w:szCs w:val="22"/>
        </w:rPr>
        <w:t xml:space="preserve"> ORA’s four Energy branches: </w:t>
      </w:r>
      <w:r w:rsidRPr="00956DCD">
        <w:rPr>
          <w:rFonts w:ascii="Arial" w:hAnsi="Arial" w:cs="Arial"/>
          <w:sz w:val="20"/>
          <w:szCs w:val="22"/>
        </w:rPr>
        <w:t>Electricity Planning and Policy, which focuses on electric procurement and climate change activities, including renewables; Electricity Pricing and Customer Programs, which works on rate design, demand-side management programs, and low-income assistance programs</w:t>
      </w:r>
      <w:r w:rsidR="00C97C2B">
        <w:rPr>
          <w:rFonts w:ascii="Arial" w:hAnsi="Arial" w:cs="Arial"/>
          <w:sz w:val="20"/>
          <w:szCs w:val="22"/>
        </w:rPr>
        <w:t>;</w:t>
      </w:r>
      <w:r w:rsidR="00121396">
        <w:rPr>
          <w:rFonts w:ascii="Arial" w:hAnsi="Arial" w:cs="Arial"/>
          <w:sz w:val="20"/>
          <w:szCs w:val="22"/>
        </w:rPr>
        <w:t xml:space="preserve"> </w:t>
      </w:r>
      <w:r w:rsidR="00121396" w:rsidRPr="00956DCD">
        <w:rPr>
          <w:rFonts w:ascii="Arial" w:hAnsi="Arial" w:cs="Arial"/>
          <w:sz w:val="20"/>
          <w:szCs w:val="22"/>
        </w:rPr>
        <w:t xml:space="preserve">Energy Cost of Service, which works on ratemaking activities including Natural Gas; </w:t>
      </w:r>
      <w:r w:rsidRPr="00956DCD">
        <w:rPr>
          <w:rFonts w:ascii="Arial" w:hAnsi="Arial" w:cs="Arial"/>
          <w:sz w:val="20"/>
          <w:szCs w:val="22"/>
        </w:rPr>
        <w:t>and Energy Safety and Infrastructure Branch, which works on energy safety and infrastructure</w:t>
      </w:r>
      <w:r w:rsidR="00B06A8E">
        <w:rPr>
          <w:rFonts w:ascii="Arial" w:hAnsi="Arial" w:cs="Arial"/>
          <w:sz w:val="20"/>
          <w:szCs w:val="22"/>
        </w:rPr>
        <w:t>, including transmission, energy storage, and electric vehicles</w:t>
      </w:r>
      <w:r w:rsidRPr="00956DCD">
        <w:rPr>
          <w:rFonts w:ascii="Arial" w:hAnsi="Arial" w:cs="Arial"/>
          <w:sz w:val="20"/>
          <w:szCs w:val="22"/>
        </w:rPr>
        <w:t>.</w:t>
      </w:r>
    </w:p>
    <w:p w:rsidR="00315B52" w:rsidRPr="00956DCD" w:rsidRDefault="00315B52" w:rsidP="00315B52">
      <w:pPr>
        <w:autoSpaceDE w:val="0"/>
        <w:autoSpaceDN w:val="0"/>
        <w:adjustRightInd w:val="0"/>
        <w:spacing w:after="120" w:line="288" w:lineRule="auto"/>
        <w:jc w:val="both"/>
        <w:rPr>
          <w:rFonts w:ascii="Arial" w:hAnsi="Arial" w:cs="Arial"/>
          <w:sz w:val="20"/>
          <w:szCs w:val="22"/>
        </w:rPr>
      </w:pPr>
      <w:r w:rsidRPr="00956DCD">
        <w:rPr>
          <w:rFonts w:ascii="Arial" w:hAnsi="Arial" w:cs="Arial"/>
          <w:b/>
          <w:bCs/>
          <w:sz w:val="20"/>
          <w:szCs w:val="22"/>
        </w:rPr>
        <w:t>Deputy Director / Water, Communications, and Governmental Affairs, Matthew Marcus:</w:t>
      </w:r>
      <w:r w:rsidRPr="00956DCD">
        <w:rPr>
          <w:rFonts w:ascii="Arial" w:hAnsi="Arial" w:cs="Arial"/>
          <w:sz w:val="20"/>
          <w:szCs w:val="22"/>
        </w:rPr>
        <w:t xml:space="preserve">  Matthew Marcus oversees the activities of ORA’s Water and Communications &amp; Water Policy branch</w:t>
      </w:r>
      <w:r w:rsidR="00C32B36">
        <w:rPr>
          <w:rFonts w:ascii="Arial" w:hAnsi="Arial" w:cs="Arial"/>
          <w:sz w:val="20"/>
          <w:szCs w:val="22"/>
        </w:rPr>
        <w:t>es</w:t>
      </w:r>
      <w:r w:rsidRPr="00956DCD">
        <w:rPr>
          <w:rFonts w:ascii="Arial" w:hAnsi="Arial" w:cs="Arial"/>
          <w:sz w:val="20"/>
          <w:szCs w:val="22"/>
        </w:rPr>
        <w:t xml:space="preserve">. The Water branch primarily works on general rate cases to ensure monthly </w:t>
      </w:r>
      <w:r w:rsidR="00F51939">
        <w:rPr>
          <w:rFonts w:ascii="Arial" w:hAnsi="Arial" w:cs="Arial"/>
          <w:sz w:val="20"/>
          <w:szCs w:val="22"/>
        </w:rPr>
        <w:t>utility</w:t>
      </w:r>
      <w:r w:rsidRPr="00956DCD">
        <w:rPr>
          <w:rFonts w:ascii="Arial" w:hAnsi="Arial" w:cs="Arial"/>
          <w:sz w:val="20"/>
          <w:szCs w:val="22"/>
        </w:rPr>
        <w:t xml:space="preserve"> bills are affordable and service is safe and reliable. The Communications &amp; W</w:t>
      </w:r>
      <w:r w:rsidR="0032682F">
        <w:rPr>
          <w:rFonts w:ascii="Arial" w:hAnsi="Arial" w:cs="Arial"/>
          <w:sz w:val="20"/>
          <w:szCs w:val="22"/>
        </w:rPr>
        <w:t xml:space="preserve">ater Policy branch works on </w:t>
      </w:r>
      <w:r w:rsidRPr="00956DCD">
        <w:rPr>
          <w:rFonts w:ascii="Arial" w:hAnsi="Arial" w:cs="Arial"/>
          <w:sz w:val="20"/>
          <w:szCs w:val="22"/>
        </w:rPr>
        <w:t>communications and broadband issues to help ensure that customers have access to high-quality, reliable, and affordable services</w:t>
      </w:r>
      <w:r w:rsidR="00C97C2B">
        <w:rPr>
          <w:rFonts w:ascii="Arial" w:hAnsi="Arial" w:cs="Arial"/>
          <w:sz w:val="20"/>
          <w:szCs w:val="22"/>
        </w:rPr>
        <w:t>, as well as</w:t>
      </w:r>
      <w:r w:rsidRPr="00956DCD">
        <w:rPr>
          <w:rFonts w:ascii="Arial" w:hAnsi="Arial" w:cs="Arial"/>
          <w:sz w:val="20"/>
          <w:szCs w:val="22"/>
        </w:rPr>
        <w:t xml:space="preserve"> on water policy issues to prudently achieve the state’s laudable water policy goals</w:t>
      </w:r>
      <w:r w:rsidR="00C32B36">
        <w:rPr>
          <w:rFonts w:ascii="Arial" w:hAnsi="Arial" w:cs="Arial"/>
          <w:sz w:val="20"/>
          <w:szCs w:val="22"/>
        </w:rPr>
        <w:t>, including</w:t>
      </w:r>
      <w:r w:rsidRPr="00956DCD">
        <w:rPr>
          <w:rFonts w:ascii="Arial" w:hAnsi="Arial" w:cs="Arial"/>
          <w:sz w:val="20"/>
          <w:szCs w:val="22"/>
        </w:rPr>
        <w:t xml:space="preserve"> conservation, recycling, and </w:t>
      </w:r>
      <w:r w:rsidR="00F51939">
        <w:rPr>
          <w:rFonts w:ascii="Arial" w:hAnsi="Arial" w:cs="Arial"/>
          <w:sz w:val="20"/>
          <w:szCs w:val="22"/>
        </w:rPr>
        <w:t xml:space="preserve">the </w:t>
      </w:r>
      <w:r w:rsidRPr="00956DCD">
        <w:rPr>
          <w:rFonts w:ascii="Arial" w:hAnsi="Arial" w:cs="Arial"/>
          <w:sz w:val="20"/>
          <w:szCs w:val="22"/>
        </w:rPr>
        <w:t>water-energy nexus. Matthew is also responsible for ORA’s activities in Sacramento and leads ORA’s legislative</w:t>
      </w:r>
      <w:r w:rsidR="00175A31">
        <w:rPr>
          <w:rFonts w:ascii="Arial" w:hAnsi="Arial" w:cs="Arial"/>
          <w:sz w:val="20"/>
          <w:szCs w:val="22"/>
        </w:rPr>
        <w:t xml:space="preserve"> outreach</w:t>
      </w:r>
      <w:r w:rsidRPr="00956DCD">
        <w:rPr>
          <w:rFonts w:ascii="Arial" w:hAnsi="Arial" w:cs="Arial"/>
          <w:sz w:val="20"/>
          <w:szCs w:val="22"/>
        </w:rPr>
        <w:t xml:space="preserve"> and educational efforts, as well as </w:t>
      </w:r>
      <w:r w:rsidRPr="00956DCD">
        <w:rPr>
          <w:rFonts w:ascii="Arial" w:hAnsi="Arial" w:cs="Arial"/>
          <w:color w:val="000000"/>
          <w:sz w:val="20"/>
          <w:szCs w:val="22"/>
        </w:rPr>
        <w:t>responding to inquiries from Assembly and Senate offices and the office of the Governor.</w:t>
      </w:r>
    </w:p>
    <w:p w:rsidR="00315B52" w:rsidRPr="00956DCD" w:rsidRDefault="00315B52" w:rsidP="00315B52">
      <w:pPr>
        <w:spacing w:after="120" w:line="288" w:lineRule="auto"/>
        <w:jc w:val="both"/>
        <w:rPr>
          <w:rFonts w:ascii="Arial" w:hAnsi="Arial" w:cs="Arial"/>
          <w:sz w:val="20"/>
          <w:szCs w:val="22"/>
        </w:rPr>
      </w:pPr>
      <w:r w:rsidRPr="00956DCD">
        <w:rPr>
          <w:rFonts w:ascii="Arial" w:hAnsi="Arial" w:cs="Arial"/>
          <w:b/>
          <w:bCs/>
          <w:sz w:val="20"/>
          <w:szCs w:val="22"/>
        </w:rPr>
        <w:t>Policy Advisor, Cheryl Cox:</w:t>
      </w:r>
      <w:r w:rsidRPr="00956DCD">
        <w:rPr>
          <w:rFonts w:ascii="Arial" w:hAnsi="Arial" w:cs="Arial"/>
          <w:sz w:val="20"/>
          <w:szCs w:val="22"/>
        </w:rPr>
        <w:t xml:space="preserve"> Cheryl Cox is responsible for leading ORA’s </w:t>
      </w:r>
      <w:r w:rsidR="00175A31">
        <w:rPr>
          <w:rFonts w:ascii="Arial" w:hAnsi="Arial" w:cs="Arial"/>
          <w:sz w:val="20"/>
          <w:szCs w:val="22"/>
        </w:rPr>
        <w:t>outreach</w:t>
      </w:r>
      <w:r w:rsidRPr="00956DCD">
        <w:rPr>
          <w:rFonts w:ascii="Arial" w:hAnsi="Arial" w:cs="Arial"/>
          <w:sz w:val="20"/>
          <w:szCs w:val="22"/>
        </w:rPr>
        <w:t xml:space="preserve"> and external communications. She manages ORA’s efforts to educate and persuade policymakers on ratepayer is</w:t>
      </w:r>
      <w:r w:rsidR="0032682F">
        <w:rPr>
          <w:rFonts w:ascii="Arial" w:hAnsi="Arial" w:cs="Arial"/>
          <w:sz w:val="20"/>
          <w:szCs w:val="22"/>
        </w:rPr>
        <w:t xml:space="preserve">sues for energy, water, and </w:t>
      </w:r>
      <w:r w:rsidRPr="00956DCD">
        <w:rPr>
          <w:rFonts w:ascii="Arial" w:hAnsi="Arial" w:cs="Arial"/>
          <w:sz w:val="20"/>
          <w:szCs w:val="22"/>
        </w:rPr>
        <w:t>communications. Cheryl also oversees ORA’s efforts to educate</w:t>
      </w:r>
      <w:r w:rsidR="008842DC" w:rsidRPr="00956DCD">
        <w:rPr>
          <w:rFonts w:ascii="Arial" w:hAnsi="Arial" w:cs="Arial"/>
          <w:sz w:val="20"/>
          <w:szCs w:val="22"/>
        </w:rPr>
        <w:t xml:space="preserve"> </w:t>
      </w:r>
      <w:r w:rsidRPr="00956DCD">
        <w:rPr>
          <w:rFonts w:ascii="Arial" w:hAnsi="Arial" w:cs="Arial"/>
          <w:sz w:val="20"/>
          <w:szCs w:val="22"/>
        </w:rPr>
        <w:t xml:space="preserve">the public </w:t>
      </w:r>
      <w:r w:rsidR="008842DC" w:rsidRPr="00956DCD">
        <w:rPr>
          <w:rFonts w:ascii="Arial" w:hAnsi="Arial" w:cs="Arial"/>
          <w:sz w:val="20"/>
          <w:szCs w:val="22"/>
        </w:rPr>
        <w:t xml:space="preserve">via </w:t>
      </w:r>
      <w:r w:rsidRPr="00956DCD">
        <w:rPr>
          <w:rFonts w:ascii="Arial" w:hAnsi="Arial" w:cs="Arial"/>
          <w:sz w:val="20"/>
          <w:szCs w:val="22"/>
        </w:rPr>
        <w:t>the press, internet, social media, and working strategically to collaborate with community stakeholders.</w:t>
      </w:r>
      <w:r w:rsidR="00F51939">
        <w:rPr>
          <w:rFonts w:ascii="Arial" w:hAnsi="Arial" w:cs="Arial"/>
          <w:sz w:val="20"/>
          <w:szCs w:val="22"/>
        </w:rPr>
        <w:t xml:space="preserve"> </w:t>
      </w:r>
    </w:p>
    <w:p w:rsidR="00315B52" w:rsidRPr="007E37EB" w:rsidRDefault="007E37EB" w:rsidP="00315B52">
      <w:pPr>
        <w:autoSpaceDE w:val="0"/>
        <w:autoSpaceDN w:val="0"/>
        <w:adjustRightInd w:val="0"/>
        <w:spacing w:after="120" w:line="288" w:lineRule="auto"/>
        <w:jc w:val="both"/>
        <w:rPr>
          <w:rFonts w:ascii="Arial" w:hAnsi="Arial" w:cs="Arial"/>
          <w:color w:val="000000"/>
          <w:sz w:val="20"/>
          <w:szCs w:val="22"/>
        </w:rPr>
      </w:pPr>
      <w:r>
        <w:rPr>
          <w:rFonts w:ascii="Arial" w:hAnsi="Arial" w:cs="Arial"/>
          <w:b/>
          <w:bCs/>
          <w:sz w:val="20"/>
          <w:szCs w:val="22"/>
        </w:rPr>
        <w:t xml:space="preserve">Acting </w:t>
      </w:r>
      <w:r w:rsidR="00315B52" w:rsidRPr="00956DCD">
        <w:rPr>
          <w:rFonts w:ascii="Arial" w:hAnsi="Arial" w:cs="Arial"/>
          <w:b/>
          <w:bCs/>
          <w:sz w:val="20"/>
          <w:szCs w:val="22"/>
        </w:rPr>
        <w:t xml:space="preserve">Chief Counsels, Mary McKenzie and Philip Weismehl: </w:t>
      </w:r>
      <w:r>
        <w:rPr>
          <w:rFonts w:ascii="Arial" w:hAnsi="Arial" w:cs="Arial"/>
          <w:bCs/>
          <w:sz w:val="20"/>
          <w:szCs w:val="22"/>
        </w:rPr>
        <w:t>The Chief Counsel position is responsible for overseeing all of ORA’s legal issues and managing attorneys as assigned by the CPUC, pursuant to SB 608.</w:t>
      </w:r>
    </w:p>
    <w:p w:rsidR="003057FC" w:rsidRDefault="00315B52" w:rsidP="00315B52">
      <w:pPr>
        <w:spacing w:after="120" w:line="288" w:lineRule="auto"/>
        <w:jc w:val="both"/>
        <w:rPr>
          <w:rFonts w:ascii="Arial" w:hAnsi="Arial" w:cs="Arial"/>
          <w:sz w:val="20"/>
          <w:szCs w:val="22"/>
        </w:rPr>
      </w:pPr>
      <w:r w:rsidRPr="00956DCD">
        <w:rPr>
          <w:rFonts w:ascii="Arial" w:hAnsi="Arial" w:cs="Arial"/>
          <w:sz w:val="20"/>
          <w:szCs w:val="22"/>
        </w:rPr>
        <w:t>ORA’s 14</w:t>
      </w:r>
      <w:r w:rsidR="00AC2F1A">
        <w:rPr>
          <w:rFonts w:ascii="Arial" w:hAnsi="Arial" w:cs="Arial"/>
          <w:sz w:val="20"/>
          <w:szCs w:val="22"/>
        </w:rPr>
        <w:t>7</w:t>
      </w:r>
      <w:r w:rsidRPr="00956DCD">
        <w:rPr>
          <w:rFonts w:ascii="Arial" w:hAnsi="Arial" w:cs="Arial"/>
          <w:sz w:val="20"/>
          <w:szCs w:val="22"/>
        </w:rPr>
        <w:t xml:space="preserve"> authorized staff positions, including management and administrative staff, are allocated across the six ORA branches and Administration </w:t>
      </w:r>
      <w:r w:rsidRPr="000A4E38">
        <w:rPr>
          <w:rFonts w:ascii="Arial" w:hAnsi="Arial" w:cs="Arial"/>
          <w:sz w:val="20"/>
          <w:szCs w:val="22"/>
        </w:rPr>
        <w:t>(1</w:t>
      </w:r>
      <w:r w:rsidR="000A4E38">
        <w:rPr>
          <w:rFonts w:ascii="Arial" w:hAnsi="Arial" w:cs="Arial"/>
          <w:sz w:val="20"/>
          <w:szCs w:val="22"/>
        </w:rPr>
        <w:t>0</w:t>
      </w:r>
      <w:r w:rsidRPr="000A4E38">
        <w:rPr>
          <w:rFonts w:ascii="Arial" w:hAnsi="Arial" w:cs="Arial"/>
          <w:sz w:val="20"/>
          <w:szCs w:val="22"/>
        </w:rPr>
        <w:t>).</w:t>
      </w:r>
      <w:r w:rsidRPr="00956DCD">
        <w:rPr>
          <w:rFonts w:ascii="Arial" w:hAnsi="Arial" w:cs="Arial"/>
          <w:sz w:val="20"/>
          <w:szCs w:val="22"/>
        </w:rPr>
        <w:t xml:space="preserve"> </w:t>
      </w:r>
    </w:p>
    <w:p w:rsidR="00315B52" w:rsidRPr="00956DCD" w:rsidRDefault="00315B52" w:rsidP="00200602">
      <w:pPr>
        <w:spacing w:after="60" w:line="288" w:lineRule="auto"/>
        <w:jc w:val="both"/>
        <w:rPr>
          <w:rFonts w:ascii="Arial" w:hAnsi="Arial" w:cs="Arial"/>
          <w:sz w:val="20"/>
          <w:szCs w:val="22"/>
        </w:rPr>
      </w:pPr>
      <w:r w:rsidRPr="00956DCD">
        <w:rPr>
          <w:rFonts w:ascii="Arial" w:hAnsi="Arial" w:cs="Arial"/>
          <w:sz w:val="20"/>
          <w:szCs w:val="22"/>
        </w:rPr>
        <w:t xml:space="preserve">ORA branches are managed by its program managers: </w:t>
      </w:r>
    </w:p>
    <w:p w:rsidR="00315B52" w:rsidRPr="00956DCD" w:rsidRDefault="00315B52" w:rsidP="00200602">
      <w:pPr>
        <w:numPr>
          <w:ilvl w:val="0"/>
          <w:numId w:val="2"/>
        </w:numPr>
        <w:spacing w:after="60" w:line="288" w:lineRule="auto"/>
        <w:rPr>
          <w:rFonts w:ascii="Arial" w:hAnsi="Arial" w:cs="Arial"/>
          <w:b/>
          <w:bCs/>
          <w:sz w:val="20"/>
          <w:szCs w:val="22"/>
        </w:rPr>
      </w:pPr>
      <w:r w:rsidRPr="00956DCD">
        <w:rPr>
          <w:rFonts w:ascii="Arial" w:hAnsi="Arial" w:cs="Arial"/>
          <w:b/>
          <w:bCs/>
          <w:sz w:val="20"/>
          <w:szCs w:val="22"/>
        </w:rPr>
        <w:t xml:space="preserve">Energy Branches </w:t>
      </w:r>
      <w:r w:rsidRPr="000A4E38">
        <w:rPr>
          <w:rFonts w:ascii="Arial" w:hAnsi="Arial" w:cs="Arial"/>
          <w:sz w:val="20"/>
          <w:szCs w:val="22"/>
        </w:rPr>
        <w:t>(86 Staff)</w:t>
      </w:r>
      <w:r w:rsidRPr="000A4E38">
        <w:rPr>
          <w:rFonts w:ascii="Arial" w:hAnsi="Arial" w:cs="Arial"/>
          <w:b/>
          <w:bCs/>
          <w:sz w:val="20"/>
          <w:szCs w:val="22"/>
        </w:rPr>
        <w:t>:</w:t>
      </w:r>
    </w:p>
    <w:p w:rsidR="00315B52" w:rsidRPr="00956DCD" w:rsidRDefault="00315B52" w:rsidP="00200602">
      <w:pPr>
        <w:numPr>
          <w:ilvl w:val="1"/>
          <w:numId w:val="10"/>
        </w:numPr>
        <w:spacing w:after="60" w:line="288" w:lineRule="auto"/>
        <w:rPr>
          <w:rFonts w:ascii="Arial" w:hAnsi="Arial" w:cs="Arial"/>
          <w:sz w:val="20"/>
          <w:szCs w:val="22"/>
        </w:rPr>
      </w:pPr>
      <w:r w:rsidRPr="00956DCD">
        <w:rPr>
          <w:rFonts w:ascii="Arial" w:hAnsi="Arial" w:cs="Arial"/>
          <w:b/>
          <w:bCs/>
          <w:sz w:val="20"/>
          <w:szCs w:val="22"/>
        </w:rPr>
        <w:t>Electricity Planning and Policy (EPP)</w:t>
      </w:r>
      <w:r w:rsidR="00E85542" w:rsidRPr="00E85542">
        <w:rPr>
          <w:rFonts w:ascii="Arial" w:hAnsi="Arial" w:cs="Arial"/>
          <w:bCs/>
          <w:sz w:val="20"/>
          <w:szCs w:val="22"/>
        </w:rPr>
        <w:t xml:space="preserve"> -</w:t>
      </w:r>
      <w:r w:rsidR="00E85542">
        <w:rPr>
          <w:rFonts w:ascii="Arial" w:hAnsi="Arial" w:cs="Arial"/>
          <w:b/>
          <w:bCs/>
          <w:sz w:val="20"/>
          <w:szCs w:val="22"/>
        </w:rPr>
        <w:t xml:space="preserve"> </w:t>
      </w:r>
      <w:r w:rsidR="00821D4D">
        <w:rPr>
          <w:rFonts w:ascii="Arial" w:hAnsi="Arial" w:cs="Arial"/>
          <w:sz w:val="20"/>
          <w:szCs w:val="22"/>
        </w:rPr>
        <w:t>To be Filled</w:t>
      </w:r>
    </w:p>
    <w:p w:rsidR="00315B52" w:rsidRDefault="00315B52" w:rsidP="00200602">
      <w:pPr>
        <w:numPr>
          <w:ilvl w:val="1"/>
          <w:numId w:val="10"/>
        </w:numPr>
        <w:spacing w:after="60" w:line="288" w:lineRule="auto"/>
        <w:rPr>
          <w:rFonts w:ascii="Arial" w:hAnsi="Arial" w:cs="Arial"/>
          <w:sz w:val="20"/>
          <w:szCs w:val="22"/>
        </w:rPr>
      </w:pPr>
      <w:r w:rsidRPr="00956DCD">
        <w:rPr>
          <w:rFonts w:ascii="Arial" w:hAnsi="Arial" w:cs="Arial"/>
          <w:b/>
          <w:bCs/>
          <w:sz w:val="20"/>
          <w:szCs w:val="22"/>
        </w:rPr>
        <w:t>Electricity Pricing and Customer Programs (EPCP)</w:t>
      </w:r>
      <w:r w:rsidR="00E85542" w:rsidRPr="00E85542">
        <w:rPr>
          <w:rFonts w:ascii="Arial" w:hAnsi="Arial" w:cs="Arial"/>
          <w:bCs/>
          <w:sz w:val="20"/>
          <w:szCs w:val="22"/>
        </w:rPr>
        <w:t xml:space="preserve"> -</w:t>
      </w:r>
      <w:r w:rsidRPr="00956DCD">
        <w:rPr>
          <w:rFonts w:ascii="Arial" w:hAnsi="Arial" w:cs="Arial"/>
          <w:sz w:val="20"/>
          <w:szCs w:val="22"/>
        </w:rPr>
        <w:t xml:space="preserve"> M</w:t>
      </w:r>
      <w:r w:rsidR="007C74E1">
        <w:rPr>
          <w:rFonts w:ascii="Arial" w:hAnsi="Arial" w:cs="Arial"/>
          <w:sz w:val="20"/>
          <w:szCs w:val="22"/>
        </w:rPr>
        <w:t>ike</w:t>
      </w:r>
      <w:r w:rsidRPr="00956DCD">
        <w:rPr>
          <w:rFonts w:ascii="Arial" w:hAnsi="Arial" w:cs="Arial"/>
          <w:sz w:val="20"/>
          <w:szCs w:val="22"/>
        </w:rPr>
        <w:t xml:space="preserve"> Campbell </w:t>
      </w:r>
    </w:p>
    <w:p w:rsidR="007C74E1" w:rsidRPr="007C74E1" w:rsidRDefault="007C74E1" w:rsidP="00200602">
      <w:pPr>
        <w:numPr>
          <w:ilvl w:val="1"/>
          <w:numId w:val="10"/>
        </w:numPr>
        <w:spacing w:after="60" w:line="288" w:lineRule="auto"/>
        <w:rPr>
          <w:rFonts w:ascii="Arial" w:hAnsi="Arial" w:cs="Arial"/>
          <w:sz w:val="20"/>
          <w:szCs w:val="22"/>
        </w:rPr>
      </w:pPr>
      <w:r w:rsidRPr="007C74E1">
        <w:rPr>
          <w:rFonts w:ascii="Arial" w:hAnsi="Arial" w:cs="Arial"/>
          <w:b/>
          <w:bCs/>
          <w:sz w:val="20"/>
          <w:szCs w:val="22"/>
        </w:rPr>
        <w:t>Energy Cost of Service &amp; Natural Gas (ECOS-NG)</w:t>
      </w:r>
      <w:r w:rsidRPr="007C74E1">
        <w:rPr>
          <w:rFonts w:ascii="Arial" w:hAnsi="Arial" w:cs="Arial"/>
          <w:bCs/>
          <w:sz w:val="20"/>
          <w:szCs w:val="22"/>
        </w:rPr>
        <w:t xml:space="preserve"> -</w:t>
      </w:r>
      <w:r w:rsidRPr="007C74E1">
        <w:rPr>
          <w:rFonts w:ascii="Arial" w:hAnsi="Arial" w:cs="Arial"/>
          <w:sz w:val="20"/>
          <w:szCs w:val="22"/>
        </w:rPr>
        <w:t xml:space="preserve"> R. Mark Pocta </w:t>
      </w:r>
    </w:p>
    <w:p w:rsidR="00315B52" w:rsidRPr="00956DCD" w:rsidRDefault="00315B52" w:rsidP="00200602">
      <w:pPr>
        <w:numPr>
          <w:ilvl w:val="1"/>
          <w:numId w:val="10"/>
        </w:numPr>
        <w:spacing w:after="60" w:line="288" w:lineRule="auto"/>
        <w:rPr>
          <w:rFonts w:ascii="Arial" w:hAnsi="Arial" w:cs="Arial"/>
          <w:sz w:val="20"/>
          <w:szCs w:val="22"/>
        </w:rPr>
      </w:pPr>
      <w:r w:rsidRPr="00956DCD">
        <w:rPr>
          <w:rFonts w:ascii="Arial" w:hAnsi="Arial" w:cs="Arial"/>
          <w:b/>
          <w:bCs/>
          <w:sz w:val="20"/>
          <w:szCs w:val="22"/>
        </w:rPr>
        <w:t>Energy Safety and Infrastructure Branch (ESI)</w:t>
      </w:r>
      <w:r w:rsidR="00E85542">
        <w:rPr>
          <w:rFonts w:ascii="Arial" w:hAnsi="Arial" w:cs="Arial"/>
          <w:b/>
          <w:bCs/>
          <w:sz w:val="20"/>
          <w:szCs w:val="22"/>
        </w:rPr>
        <w:t xml:space="preserve"> </w:t>
      </w:r>
      <w:r w:rsidR="00E85542" w:rsidRPr="00E85542">
        <w:rPr>
          <w:rFonts w:ascii="Arial" w:hAnsi="Arial" w:cs="Arial"/>
          <w:bCs/>
          <w:sz w:val="20"/>
          <w:szCs w:val="22"/>
        </w:rPr>
        <w:t>-</w:t>
      </w:r>
      <w:r w:rsidRPr="00E85542">
        <w:rPr>
          <w:rFonts w:ascii="Arial" w:hAnsi="Arial" w:cs="Arial"/>
          <w:bCs/>
          <w:sz w:val="20"/>
          <w:szCs w:val="22"/>
        </w:rPr>
        <w:t xml:space="preserve"> </w:t>
      </w:r>
      <w:r w:rsidRPr="00AC2F1A">
        <w:rPr>
          <w:rFonts w:ascii="Arial" w:hAnsi="Arial" w:cs="Arial"/>
          <w:bCs/>
          <w:sz w:val="20"/>
          <w:szCs w:val="22"/>
        </w:rPr>
        <w:t>Chloe Lukins</w:t>
      </w:r>
    </w:p>
    <w:p w:rsidR="00315B52" w:rsidRPr="00956DCD" w:rsidRDefault="00315B52" w:rsidP="00200602">
      <w:pPr>
        <w:numPr>
          <w:ilvl w:val="0"/>
          <w:numId w:val="2"/>
        </w:numPr>
        <w:spacing w:after="60" w:line="288" w:lineRule="auto"/>
        <w:rPr>
          <w:rFonts w:ascii="Arial" w:hAnsi="Arial" w:cs="Arial"/>
          <w:sz w:val="20"/>
          <w:szCs w:val="22"/>
        </w:rPr>
      </w:pPr>
      <w:r w:rsidRPr="00956DCD">
        <w:rPr>
          <w:rFonts w:ascii="Arial" w:hAnsi="Arial" w:cs="Arial"/>
          <w:b/>
          <w:bCs/>
          <w:sz w:val="20"/>
          <w:szCs w:val="22"/>
        </w:rPr>
        <w:t xml:space="preserve">Water </w:t>
      </w:r>
      <w:r w:rsidRPr="000A4E38">
        <w:rPr>
          <w:rFonts w:ascii="Arial" w:hAnsi="Arial" w:cs="Arial"/>
          <w:b/>
          <w:bCs/>
          <w:sz w:val="20"/>
          <w:szCs w:val="22"/>
        </w:rPr>
        <w:t xml:space="preserve">Branch </w:t>
      </w:r>
      <w:r w:rsidRPr="000A4E38">
        <w:rPr>
          <w:rFonts w:ascii="Arial" w:hAnsi="Arial" w:cs="Arial"/>
          <w:sz w:val="20"/>
          <w:szCs w:val="22"/>
        </w:rPr>
        <w:t>(27 Staff)</w:t>
      </w:r>
      <w:r w:rsidR="00E85542">
        <w:rPr>
          <w:rFonts w:ascii="Arial" w:hAnsi="Arial" w:cs="Arial"/>
          <w:sz w:val="20"/>
          <w:szCs w:val="22"/>
        </w:rPr>
        <w:t xml:space="preserve"> -</w:t>
      </w:r>
      <w:r w:rsidRPr="00956DCD">
        <w:rPr>
          <w:rFonts w:ascii="Arial" w:hAnsi="Arial" w:cs="Arial"/>
          <w:sz w:val="20"/>
          <w:szCs w:val="22"/>
        </w:rPr>
        <w:t xml:space="preserve"> Danilo Sanchez</w:t>
      </w:r>
    </w:p>
    <w:p w:rsidR="00D21526" w:rsidRPr="003057FC" w:rsidRDefault="00315B52" w:rsidP="003057FC">
      <w:pPr>
        <w:numPr>
          <w:ilvl w:val="0"/>
          <w:numId w:val="2"/>
        </w:numPr>
        <w:spacing w:after="120" w:line="288" w:lineRule="auto"/>
        <w:rPr>
          <w:rFonts w:ascii="Arial" w:hAnsi="Arial" w:cs="Arial"/>
          <w:sz w:val="20"/>
          <w:szCs w:val="22"/>
        </w:rPr>
      </w:pPr>
      <w:r w:rsidRPr="00956DCD">
        <w:rPr>
          <w:rFonts w:ascii="Arial" w:hAnsi="Arial" w:cs="Arial"/>
          <w:b/>
          <w:bCs/>
          <w:sz w:val="20"/>
          <w:szCs w:val="22"/>
        </w:rPr>
        <w:t xml:space="preserve">Communications &amp; Water Policy Branch </w:t>
      </w:r>
      <w:r w:rsidRPr="000A4E38">
        <w:rPr>
          <w:rFonts w:ascii="Arial" w:hAnsi="Arial" w:cs="Arial"/>
          <w:sz w:val="20"/>
          <w:szCs w:val="22"/>
        </w:rPr>
        <w:t>(2</w:t>
      </w:r>
      <w:r w:rsidR="000A4E38">
        <w:rPr>
          <w:rFonts w:ascii="Arial" w:hAnsi="Arial" w:cs="Arial"/>
          <w:sz w:val="20"/>
          <w:szCs w:val="22"/>
        </w:rPr>
        <w:t>4</w:t>
      </w:r>
      <w:r w:rsidRPr="000A4E38">
        <w:rPr>
          <w:rFonts w:ascii="Arial" w:hAnsi="Arial" w:cs="Arial"/>
          <w:sz w:val="20"/>
          <w:szCs w:val="22"/>
        </w:rPr>
        <w:t xml:space="preserve"> Staff)</w:t>
      </w:r>
      <w:r w:rsidR="00E85542">
        <w:rPr>
          <w:rFonts w:ascii="Arial" w:hAnsi="Arial" w:cs="Arial"/>
          <w:sz w:val="20"/>
          <w:szCs w:val="22"/>
        </w:rPr>
        <w:t xml:space="preserve"> -</w:t>
      </w:r>
      <w:r w:rsidRPr="00956DCD">
        <w:rPr>
          <w:rFonts w:ascii="Arial" w:hAnsi="Arial" w:cs="Arial"/>
          <w:sz w:val="20"/>
          <w:szCs w:val="22"/>
        </w:rPr>
        <w:t xml:space="preserve"> Chris Ungson</w:t>
      </w:r>
    </w:p>
    <w:p w:rsidR="00956DCD" w:rsidRDefault="00315B52" w:rsidP="00D21526">
      <w:pPr>
        <w:spacing w:before="120" w:after="120" w:line="288" w:lineRule="auto"/>
        <w:jc w:val="both"/>
        <w:rPr>
          <w:rFonts w:ascii="Arial" w:hAnsi="Arial" w:cs="Arial"/>
          <w:sz w:val="20"/>
          <w:szCs w:val="22"/>
        </w:rPr>
      </w:pPr>
      <w:r w:rsidRPr="00956DCD">
        <w:rPr>
          <w:rFonts w:ascii="Arial" w:hAnsi="Arial" w:cs="Arial"/>
          <w:sz w:val="20"/>
          <w:szCs w:val="22"/>
        </w:rPr>
        <w:t>ORA’s staff consists of technical, policy, and financial analysts with professional backgrounds as engineers, auditors, and economists with expertise in the regulatory issues of electrici</w:t>
      </w:r>
      <w:r w:rsidR="0032682F">
        <w:rPr>
          <w:rFonts w:ascii="Arial" w:hAnsi="Arial" w:cs="Arial"/>
          <w:sz w:val="20"/>
          <w:szCs w:val="22"/>
        </w:rPr>
        <w:t xml:space="preserve">ty, natural gas, water, and </w:t>
      </w:r>
      <w:r w:rsidRPr="00956DCD">
        <w:rPr>
          <w:rFonts w:ascii="Arial" w:hAnsi="Arial" w:cs="Arial"/>
          <w:sz w:val="20"/>
          <w:szCs w:val="22"/>
        </w:rPr>
        <w:t xml:space="preserve">communications.  ORA’s staff increased by 5 positions in </w:t>
      </w:r>
      <w:r w:rsidR="00200602">
        <w:rPr>
          <w:rFonts w:ascii="Arial" w:hAnsi="Arial" w:cs="Arial"/>
          <w:sz w:val="20"/>
          <w:szCs w:val="22"/>
        </w:rPr>
        <w:t xml:space="preserve">both </w:t>
      </w:r>
      <w:r w:rsidRPr="00956DCD">
        <w:rPr>
          <w:rFonts w:ascii="Arial" w:hAnsi="Arial" w:cs="Arial"/>
          <w:sz w:val="20"/>
          <w:szCs w:val="22"/>
        </w:rPr>
        <w:t>2013</w:t>
      </w:r>
      <w:r w:rsidR="00200602">
        <w:rPr>
          <w:rFonts w:ascii="Arial" w:hAnsi="Arial" w:cs="Arial"/>
          <w:sz w:val="20"/>
          <w:szCs w:val="22"/>
        </w:rPr>
        <w:t xml:space="preserve"> </w:t>
      </w:r>
      <w:r w:rsidRPr="00956DCD">
        <w:rPr>
          <w:rFonts w:ascii="Arial" w:hAnsi="Arial" w:cs="Arial"/>
          <w:sz w:val="20"/>
          <w:szCs w:val="22"/>
        </w:rPr>
        <w:t>/</w:t>
      </w:r>
      <w:r w:rsidR="008B2660">
        <w:rPr>
          <w:rFonts w:ascii="Arial" w:hAnsi="Arial" w:cs="Arial"/>
          <w:sz w:val="20"/>
          <w:szCs w:val="22"/>
        </w:rPr>
        <w:t xml:space="preserve"> </w:t>
      </w:r>
      <w:r w:rsidRPr="00956DCD">
        <w:rPr>
          <w:rFonts w:ascii="Arial" w:hAnsi="Arial" w:cs="Arial"/>
          <w:sz w:val="20"/>
          <w:szCs w:val="22"/>
        </w:rPr>
        <w:t xml:space="preserve">2014 </w:t>
      </w:r>
      <w:r w:rsidR="00200602">
        <w:rPr>
          <w:rFonts w:ascii="Arial" w:hAnsi="Arial" w:cs="Arial"/>
          <w:sz w:val="20"/>
          <w:szCs w:val="22"/>
        </w:rPr>
        <w:t xml:space="preserve">and 2015 / 2016 </w:t>
      </w:r>
      <w:r w:rsidRPr="00200602">
        <w:rPr>
          <w:rFonts w:ascii="Arial" w:hAnsi="Arial" w:cs="Arial"/>
          <w:sz w:val="20"/>
          <w:szCs w:val="22"/>
        </w:rPr>
        <w:t xml:space="preserve">due to a need for </w:t>
      </w:r>
      <w:r w:rsidR="00200602" w:rsidRPr="00200602">
        <w:rPr>
          <w:rFonts w:ascii="Arial" w:hAnsi="Arial" w:cs="Arial"/>
          <w:sz w:val="20"/>
          <w:szCs w:val="22"/>
        </w:rPr>
        <w:t xml:space="preserve">analysts and </w:t>
      </w:r>
      <w:r w:rsidRPr="00200602">
        <w:rPr>
          <w:rFonts w:ascii="Arial" w:hAnsi="Arial" w:cs="Arial"/>
          <w:sz w:val="20"/>
          <w:szCs w:val="22"/>
        </w:rPr>
        <w:t>greater</w:t>
      </w:r>
      <w:r w:rsidR="00200602">
        <w:rPr>
          <w:rFonts w:ascii="Arial" w:hAnsi="Arial" w:cs="Arial"/>
          <w:sz w:val="20"/>
          <w:szCs w:val="22"/>
        </w:rPr>
        <w:t xml:space="preserve"> expertise in</w:t>
      </w:r>
      <w:r w:rsidRPr="00200602">
        <w:rPr>
          <w:rFonts w:ascii="Arial" w:hAnsi="Arial" w:cs="Arial"/>
          <w:sz w:val="20"/>
          <w:szCs w:val="22"/>
        </w:rPr>
        <w:t xml:space="preserve"> financial auditing </w:t>
      </w:r>
      <w:r w:rsidR="00200602" w:rsidRPr="00200602">
        <w:rPr>
          <w:rFonts w:ascii="Arial" w:hAnsi="Arial" w:cs="Arial"/>
          <w:sz w:val="20"/>
          <w:szCs w:val="22"/>
        </w:rPr>
        <w:t xml:space="preserve">and engineering </w:t>
      </w:r>
      <w:r w:rsidRPr="00956DCD">
        <w:rPr>
          <w:rFonts w:ascii="Arial" w:hAnsi="Arial" w:cs="Arial"/>
          <w:sz w:val="20"/>
          <w:szCs w:val="22"/>
        </w:rPr>
        <w:t>in the areas of natural gas pipeline safety, water rate cases, and true-up of electricity procurement. ORA’s staff r</w:t>
      </w:r>
      <w:r w:rsidR="00200602">
        <w:rPr>
          <w:rFonts w:ascii="Arial" w:hAnsi="Arial" w:cs="Arial"/>
          <w:sz w:val="20"/>
          <w:szCs w:val="22"/>
        </w:rPr>
        <w:t>emained the same in 2014 / 2015, with no new positions requested for 2016 / 2017.</w:t>
      </w:r>
    </w:p>
    <w:p w:rsidR="00956DCD" w:rsidRDefault="00956DCD">
      <w:pPr>
        <w:rPr>
          <w:rFonts w:ascii="Arial" w:hAnsi="Arial" w:cs="Arial"/>
          <w:sz w:val="20"/>
          <w:szCs w:val="22"/>
        </w:rPr>
      </w:pPr>
    </w:p>
    <w:p w:rsidR="003057FC" w:rsidRDefault="003057FC" w:rsidP="00315B52">
      <w:pPr>
        <w:rPr>
          <w:rFonts w:ascii="Arial" w:hAnsi="Arial" w:cs="Arial"/>
          <w:sz w:val="20"/>
          <w:szCs w:val="20"/>
        </w:rPr>
      </w:pPr>
    </w:p>
    <w:p w:rsidR="00315B52" w:rsidRPr="008F27A1" w:rsidRDefault="002A2D6B" w:rsidP="00315B52">
      <w:pPr>
        <w:rPr>
          <w:rFonts w:ascii="Arial" w:hAnsi="Arial" w:cs="Arial"/>
          <w:sz w:val="20"/>
          <w:szCs w:val="20"/>
        </w:rPr>
      </w:pPr>
      <w:r w:rsidRPr="008F27A1">
        <w:rPr>
          <w:rFonts w:ascii="Arial" w:hAnsi="Arial" w:cs="Arial"/>
          <w:noProof/>
          <w:sz w:val="20"/>
          <w:szCs w:val="20"/>
        </w:rPr>
        <mc:AlternateContent>
          <mc:Choice Requires="wps">
            <w:drawing>
              <wp:inline distT="0" distB="0" distL="0" distR="0" wp14:anchorId="3B007BD1" wp14:editId="1C9AD0CD">
                <wp:extent cx="6438900" cy="286385"/>
                <wp:effectExtent l="0" t="0" r="0" b="0"/>
                <wp:docPr id="38" name="Text Box 5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86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E80" w:rsidRPr="00794222" w:rsidRDefault="00CE6E80" w:rsidP="002A2D6B">
                            <w:pPr>
                              <w:rPr>
                                <w:rFonts w:ascii="Arial Black" w:hAnsi="Arial Black"/>
                                <w:color w:val="FFFFFF"/>
                              </w:rPr>
                            </w:pPr>
                            <w:r>
                              <w:rPr>
                                <w:rFonts w:ascii="Arial Black" w:eastAsia="Adobe Heiti Std R" w:hAnsi="Arial Black"/>
                                <w:b/>
                                <w:color w:val="FFFFFF"/>
                              </w:rPr>
                              <w:t>O</w:t>
                            </w:r>
                            <w:r w:rsidRPr="00794222">
                              <w:rPr>
                                <w:rFonts w:ascii="Arial Black" w:eastAsia="Adobe Heiti Std R" w:hAnsi="Arial Black"/>
                                <w:b/>
                                <w:color w:val="FFFFFF"/>
                              </w:rPr>
                              <w:t>RA’s Budget</w:t>
                            </w:r>
                          </w:p>
                          <w:p w:rsidR="00CE6E80" w:rsidRPr="00794222" w:rsidRDefault="00CE6E80" w:rsidP="002A2D6B">
                            <w:pPr>
                              <w:spacing w:before="120"/>
                              <w:rPr>
                                <w:rFonts w:ascii="Arial Black" w:hAnsi="Arial Black"/>
                              </w:rPr>
                            </w:pPr>
                          </w:p>
                          <w:p w:rsidR="00CE6E80" w:rsidRPr="00794222" w:rsidRDefault="00CE6E80" w:rsidP="002A2D6B">
                            <w:pPr>
                              <w:spacing w:before="120"/>
                              <w:rPr>
                                <w:rFonts w:ascii="Arial Black" w:hAnsi="Arial Black"/>
                                <w:color w:val="003399"/>
                              </w:rPr>
                            </w:pPr>
                            <w:r w:rsidRPr="00794222">
                              <w:rPr>
                                <w:rFonts w:ascii="Arial Black" w:eastAsia="Adobe Heiti Std R" w:hAnsi="Arial Black"/>
                                <w:b/>
                                <w:color w:val="003399"/>
                              </w:rPr>
                              <w:t>PG&amp;E</w:t>
                            </w:r>
                          </w:p>
                        </w:txbxContent>
                      </wps:txbx>
                      <wps:bodyPr rot="0" vert="horz" wrap="square" lIns="91440" tIns="45720" rIns="91440" bIns="45720" anchor="t" anchorCtr="0" upright="1">
                        <a:noAutofit/>
                      </wps:bodyPr>
                    </wps:wsp>
                  </a:graphicData>
                </a:graphic>
              </wp:inline>
            </w:drawing>
          </mc:Choice>
          <mc:Fallback>
            <w:pict>
              <v:shape id="_x0000_s1060" type="#_x0000_t202" style="width:507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" fillcolor="black" stroked="f">
                <v:textbox>
                  <w:txbxContent>
                    <w:p w:rsidR="00CE6E80" w:rsidRPr="00794222" w:rsidRDefault="00CE6E80" w:rsidP="002A2D6B">
                      <w:pPr>
                        <w:rPr>
                          <w:rFonts w:ascii="Arial Black" w:hAnsi="Arial Black"/>
                          <w:color w:val="FFFFFF"/>
                        </w:rPr>
                      </w:pPr>
                      <w:r>
                        <w:rPr>
                          <w:rFonts w:ascii="Arial Black" w:eastAsia="Adobe Heiti Std R" w:hAnsi="Arial Black"/>
                          <w:b/>
                          <w:color w:val="FFFFFF"/>
                        </w:rPr>
                        <w:t>O</w:t>
                      </w:r>
                      <w:r w:rsidRPr="00794222">
                        <w:rPr>
                          <w:rFonts w:ascii="Arial Black" w:eastAsia="Adobe Heiti Std R" w:hAnsi="Arial Black"/>
                          <w:b/>
                          <w:color w:val="FFFFFF"/>
                        </w:rPr>
                        <w:t>RA’s Budget</w:t>
                      </w:r>
                    </w:p>
                    <w:p w:rsidR="00CE6E80" w:rsidRPr="00794222" w:rsidRDefault="00CE6E80" w:rsidP="002A2D6B">
                      <w:pPr>
                        <w:spacing w:before="120"/>
                        <w:rPr>
                          <w:rFonts w:ascii="Arial Black" w:hAnsi="Arial Black"/>
                        </w:rPr>
                      </w:pPr>
                    </w:p>
                    <w:p w:rsidR="00CE6E80" w:rsidRPr="00794222" w:rsidRDefault="00CE6E80" w:rsidP="002A2D6B">
                      <w:pPr>
                        <w:spacing w:before="120"/>
                        <w:rPr>
                          <w:rFonts w:ascii="Arial Black" w:hAnsi="Arial Black"/>
                          <w:color w:val="003399"/>
                        </w:rPr>
                      </w:pPr>
                      <w:r w:rsidRPr="00794222">
                        <w:rPr>
                          <w:rFonts w:ascii="Arial Black" w:eastAsia="Adobe Heiti Std R" w:hAnsi="Arial Black"/>
                          <w:b/>
                          <w:color w:val="003399"/>
                        </w:rPr>
                        <w:t>PG&amp;E</w:t>
                      </w:r>
                    </w:p>
                  </w:txbxContent>
                </v:textbox>
                <w10:anchorlock/>
              </v:shape>
            </w:pict>
          </mc:Fallback>
        </mc:AlternateContent>
      </w:r>
      <w:r w:rsidR="00315B52" w:rsidRPr="008F27A1">
        <w:rPr>
          <w:rFonts w:ascii="Arial" w:hAnsi="Arial" w:cs="Arial"/>
          <w:sz w:val="20"/>
          <w:szCs w:val="20"/>
        </w:rPr>
        <w:br/>
      </w:r>
    </w:p>
    <w:p w:rsidR="00315B52" w:rsidRPr="00956DCD" w:rsidRDefault="00315B52" w:rsidP="002A2D6B">
      <w:pPr>
        <w:spacing w:before="60" w:after="60"/>
        <w:jc w:val="both"/>
        <w:rPr>
          <w:rFonts w:ascii="Arial" w:hAnsi="Arial" w:cs="Arial"/>
          <w:sz w:val="20"/>
          <w:szCs w:val="20"/>
        </w:rPr>
      </w:pPr>
      <w:r w:rsidRPr="00956DCD">
        <w:rPr>
          <w:rFonts w:ascii="Arial" w:hAnsi="Arial" w:cs="Arial"/>
          <w:sz w:val="20"/>
          <w:szCs w:val="20"/>
        </w:rPr>
        <w:t>Each year ORA reports to the Legislature the total dollars expended by ORA in previous budget cycles, estimated total dollars expended in the current year, and the total dollars proposed for appropriation in the upcoming budget year.</w:t>
      </w:r>
    </w:p>
    <w:p w:rsidR="00D332DA" w:rsidRPr="00D332DA" w:rsidRDefault="00D332DA" w:rsidP="00315B52">
      <w:pPr>
        <w:spacing w:after="60"/>
        <w:jc w:val="both"/>
        <w:rPr>
          <w:rFonts w:ascii="Arial" w:hAnsi="Arial" w:cs="Arial"/>
          <w:sz w:val="22"/>
          <w:szCs w:val="20"/>
        </w:rPr>
      </w:pPr>
    </w:p>
    <w:p w:rsidR="00315B52" w:rsidRPr="008F27A1" w:rsidRDefault="00315B52" w:rsidP="00AB40DC">
      <w:pPr>
        <w:autoSpaceDE w:val="0"/>
        <w:autoSpaceDN w:val="0"/>
        <w:adjustRightInd w:val="0"/>
        <w:jc w:val="center"/>
        <w:rPr>
          <w:rFonts w:ascii="Arial" w:hAnsi="Arial" w:cs="Arial"/>
          <w:b/>
          <w:sz w:val="20"/>
          <w:szCs w:val="20"/>
        </w:rPr>
      </w:pPr>
      <w:r w:rsidRPr="008F27A1">
        <w:rPr>
          <w:rFonts w:ascii="Arial" w:hAnsi="Arial" w:cs="Arial"/>
          <w:b/>
          <w:sz w:val="20"/>
          <w:szCs w:val="20"/>
        </w:rPr>
        <w:t xml:space="preserve"> ORA’s Budgets over Five Fiscal Years</w:t>
      </w:r>
    </w:p>
    <w:tbl>
      <w:tblPr>
        <w:tblpPr w:leftFromText="180" w:rightFromText="180" w:vertAnchor="text" w:horzAnchor="margin" w:tblpXSpec="center"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44061"/>
        <w:tblLook w:val="01E0" w:firstRow="1" w:lastRow="1" w:firstColumn="1" w:lastColumn="1" w:noHBand="0" w:noVBand="0"/>
      </w:tblPr>
      <w:tblGrid>
        <w:gridCol w:w="2687"/>
        <w:gridCol w:w="3811"/>
      </w:tblGrid>
      <w:tr w:rsidR="00315B52" w:rsidRPr="008F27A1" w:rsidTr="00315B52">
        <w:trPr>
          <w:trHeight w:val="423"/>
        </w:trPr>
        <w:tc>
          <w:tcPr>
            <w:tcW w:w="2687" w:type="dxa"/>
            <w:tcBorders>
              <w:top w:val="single" w:sz="18" w:space="0" w:color="FFFFFF"/>
              <w:left w:val="single" w:sz="18" w:space="0" w:color="FFFFFF"/>
              <w:bottom w:val="single" w:sz="18" w:space="0" w:color="FFFFFF"/>
              <w:right w:val="single" w:sz="18" w:space="0" w:color="FFFFFF"/>
            </w:tcBorders>
            <w:shd w:val="clear" w:color="auto" w:fill="1F497D" w:themeFill="text2"/>
            <w:vAlign w:val="center"/>
          </w:tcPr>
          <w:p w:rsidR="00315B52" w:rsidRPr="008F27A1" w:rsidRDefault="00315B52" w:rsidP="00315B52">
            <w:pPr>
              <w:spacing w:before="120" w:after="120"/>
              <w:jc w:val="center"/>
              <w:rPr>
                <w:rFonts w:ascii="Arial" w:hAnsi="Arial" w:cs="Arial"/>
                <w:b/>
                <w:color w:val="FFFFFF" w:themeColor="background1"/>
                <w:sz w:val="20"/>
                <w:szCs w:val="20"/>
              </w:rPr>
            </w:pPr>
            <w:r w:rsidRPr="008F27A1">
              <w:rPr>
                <w:rFonts w:ascii="Arial" w:hAnsi="Arial" w:cs="Arial"/>
                <w:b/>
                <w:color w:val="FFFFFF" w:themeColor="background1"/>
                <w:sz w:val="20"/>
                <w:szCs w:val="20"/>
              </w:rPr>
              <w:t>Fiscal Year</w:t>
            </w:r>
          </w:p>
        </w:tc>
        <w:tc>
          <w:tcPr>
            <w:tcW w:w="3811" w:type="dxa"/>
            <w:tcBorders>
              <w:top w:val="single" w:sz="18" w:space="0" w:color="FFFFFF"/>
              <w:left w:val="single" w:sz="18" w:space="0" w:color="FFFFFF"/>
              <w:bottom w:val="single" w:sz="18" w:space="0" w:color="FFFFFF"/>
              <w:right w:val="single" w:sz="18" w:space="0" w:color="FFFFFF"/>
            </w:tcBorders>
            <w:shd w:val="clear" w:color="auto" w:fill="1F497D" w:themeFill="text2"/>
            <w:vAlign w:val="center"/>
          </w:tcPr>
          <w:p w:rsidR="00315B52" w:rsidRPr="008F27A1" w:rsidRDefault="00315B52" w:rsidP="009731EF">
            <w:pPr>
              <w:spacing w:before="120" w:after="120"/>
              <w:jc w:val="center"/>
              <w:rPr>
                <w:rFonts w:ascii="Arial" w:hAnsi="Arial" w:cs="Arial"/>
                <w:b/>
                <w:color w:val="FFFFFF" w:themeColor="background1"/>
                <w:sz w:val="20"/>
                <w:szCs w:val="20"/>
              </w:rPr>
            </w:pPr>
            <w:r w:rsidRPr="009731EF">
              <w:rPr>
                <w:rFonts w:ascii="Arial" w:hAnsi="Arial" w:cs="Arial"/>
                <w:b/>
                <w:color w:val="FFFFFF" w:themeColor="background1"/>
                <w:sz w:val="20"/>
                <w:szCs w:val="20"/>
              </w:rPr>
              <w:t xml:space="preserve">Total Budget </w:t>
            </w:r>
            <w:r w:rsidR="009731EF">
              <w:rPr>
                <w:rFonts w:ascii="Arial" w:hAnsi="Arial" w:cs="Arial"/>
                <w:b/>
                <w:color w:val="FFFFFF" w:themeColor="background1"/>
                <w:sz w:val="20"/>
                <w:szCs w:val="20"/>
              </w:rPr>
              <w:br/>
            </w:r>
            <w:r w:rsidR="002058AB">
              <w:rPr>
                <w:rFonts w:ascii="Arial" w:hAnsi="Arial" w:cs="Arial"/>
                <w:b/>
                <w:color w:val="FFFFFF" w:themeColor="background1"/>
                <w:sz w:val="20"/>
                <w:szCs w:val="20"/>
              </w:rPr>
              <w:t>(</w:t>
            </w:r>
            <w:r w:rsidR="0097554F">
              <w:rPr>
                <w:rFonts w:ascii="Arial" w:hAnsi="Arial" w:cs="Arial"/>
                <w:b/>
                <w:color w:val="FFFFFF" w:themeColor="background1"/>
                <w:sz w:val="20"/>
                <w:szCs w:val="20"/>
              </w:rPr>
              <w:t>ex</w:t>
            </w:r>
            <w:r w:rsidR="002058AB">
              <w:rPr>
                <w:rFonts w:ascii="Arial" w:hAnsi="Arial" w:cs="Arial"/>
                <w:b/>
                <w:color w:val="FFFFFF" w:themeColor="background1"/>
                <w:sz w:val="20"/>
                <w:szCs w:val="20"/>
              </w:rPr>
              <w:t xml:space="preserve">cluding </w:t>
            </w:r>
            <w:r w:rsidRPr="009731EF">
              <w:rPr>
                <w:rFonts w:ascii="Arial" w:hAnsi="Arial" w:cs="Arial"/>
                <w:b/>
                <w:color w:val="FFFFFF" w:themeColor="background1"/>
                <w:sz w:val="20"/>
                <w:szCs w:val="20"/>
              </w:rPr>
              <w:t>Reimbursable Contracts</w:t>
            </w:r>
            <w:r w:rsidRPr="009731EF">
              <w:rPr>
                <w:rStyle w:val="FootnoteReference"/>
                <w:rFonts w:ascii="Arial" w:hAnsi="Arial" w:cs="Arial"/>
                <w:b/>
                <w:color w:val="FFFFFF" w:themeColor="background1"/>
                <w:sz w:val="20"/>
                <w:szCs w:val="20"/>
              </w:rPr>
              <w:footnoteReference w:id="6"/>
            </w:r>
            <w:r w:rsidR="009731EF">
              <w:rPr>
                <w:rFonts w:ascii="Arial" w:hAnsi="Arial" w:cs="Arial"/>
                <w:b/>
                <w:color w:val="FFFFFF" w:themeColor="background1"/>
                <w:sz w:val="20"/>
                <w:szCs w:val="20"/>
              </w:rPr>
              <w:t>)</w:t>
            </w:r>
          </w:p>
        </w:tc>
      </w:tr>
      <w:tr w:rsidR="00D332DA" w:rsidRPr="008F27A1" w:rsidTr="00315B52">
        <w:trPr>
          <w:trHeight w:val="582"/>
        </w:trPr>
        <w:tc>
          <w:tcPr>
            <w:tcW w:w="2687" w:type="dxa"/>
            <w:tcBorders>
              <w:top w:val="single" w:sz="18" w:space="0" w:color="FFFFFF"/>
              <w:left w:val="single" w:sz="18" w:space="0" w:color="FFFFFF"/>
              <w:bottom w:val="single" w:sz="18" w:space="0" w:color="FFFFFF"/>
              <w:right w:val="single" w:sz="18" w:space="0" w:color="FFFFFF"/>
            </w:tcBorders>
            <w:shd w:val="clear" w:color="auto" w:fill="DBE5F1" w:themeFill="accent1" w:themeFillTint="33"/>
            <w:vAlign w:val="center"/>
          </w:tcPr>
          <w:p w:rsidR="00D332DA" w:rsidRPr="008F27A1" w:rsidRDefault="00D332DA" w:rsidP="00D332DA">
            <w:pPr>
              <w:spacing w:before="120" w:after="120"/>
              <w:jc w:val="center"/>
              <w:rPr>
                <w:rFonts w:ascii="Arial" w:hAnsi="Arial" w:cs="Arial"/>
                <w:sz w:val="20"/>
                <w:szCs w:val="20"/>
              </w:rPr>
            </w:pPr>
            <w:r w:rsidRPr="008F27A1">
              <w:rPr>
                <w:rFonts w:ascii="Arial" w:hAnsi="Arial" w:cs="Arial"/>
                <w:sz w:val="20"/>
                <w:szCs w:val="20"/>
              </w:rPr>
              <w:t>2012 / 2013</w:t>
            </w:r>
          </w:p>
        </w:tc>
        <w:tc>
          <w:tcPr>
            <w:tcW w:w="3811" w:type="dxa"/>
            <w:tcBorders>
              <w:top w:val="single" w:sz="18" w:space="0" w:color="FFFFFF"/>
              <w:left w:val="single" w:sz="18" w:space="0" w:color="FFFFFF"/>
              <w:bottom w:val="single" w:sz="18" w:space="0" w:color="FFFFFF"/>
              <w:right w:val="single" w:sz="18" w:space="0" w:color="FFFFFF"/>
            </w:tcBorders>
            <w:shd w:val="clear" w:color="auto" w:fill="DBE5F1" w:themeFill="accent1" w:themeFillTint="33"/>
            <w:vAlign w:val="center"/>
          </w:tcPr>
          <w:p w:rsidR="00D332DA" w:rsidRPr="005A2519" w:rsidRDefault="005A2519" w:rsidP="00D332DA">
            <w:pPr>
              <w:spacing w:before="120" w:after="120"/>
              <w:jc w:val="center"/>
              <w:rPr>
                <w:rFonts w:ascii="Arial" w:hAnsi="Arial" w:cs="Arial"/>
                <w:sz w:val="20"/>
                <w:szCs w:val="20"/>
                <w:highlight w:val="yellow"/>
              </w:rPr>
            </w:pPr>
            <w:r w:rsidRPr="005A2519">
              <w:rPr>
                <w:rFonts w:ascii="Arial" w:hAnsi="Arial" w:cs="Arial"/>
                <w:color w:val="000000" w:themeColor="text1"/>
                <w:sz w:val="20"/>
                <w:szCs w:val="20"/>
              </w:rPr>
              <w:t>$22,537,000</w:t>
            </w:r>
          </w:p>
        </w:tc>
      </w:tr>
      <w:tr w:rsidR="00D332DA" w:rsidRPr="008F27A1" w:rsidTr="00315B52">
        <w:trPr>
          <w:trHeight w:val="300"/>
        </w:trPr>
        <w:tc>
          <w:tcPr>
            <w:tcW w:w="2687" w:type="dxa"/>
            <w:tcBorders>
              <w:top w:val="single" w:sz="18" w:space="0" w:color="FFFFFF"/>
              <w:left w:val="single" w:sz="18" w:space="0" w:color="FFFFFF"/>
              <w:bottom w:val="single" w:sz="18" w:space="0" w:color="FFFFFF"/>
              <w:right w:val="single" w:sz="18" w:space="0" w:color="FFFFFF"/>
            </w:tcBorders>
            <w:shd w:val="clear" w:color="auto" w:fill="DBE5F1" w:themeFill="accent1" w:themeFillTint="33"/>
            <w:vAlign w:val="center"/>
          </w:tcPr>
          <w:p w:rsidR="00D332DA" w:rsidRPr="008F27A1" w:rsidRDefault="00D332DA" w:rsidP="00D332DA">
            <w:pPr>
              <w:spacing w:before="120" w:after="120"/>
              <w:jc w:val="center"/>
              <w:rPr>
                <w:rFonts w:ascii="Arial" w:hAnsi="Arial" w:cs="Arial"/>
                <w:sz w:val="20"/>
                <w:szCs w:val="20"/>
              </w:rPr>
            </w:pPr>
            <w:r w:rsidRPr="008F27A1">
              <w:rPr>
                <w:rFonts w:ascii="Arial" w:hAnsi="Arial" w:cs="Arial"/>
                <w:sz w:val="20"/>
                <w:szCs w:val="20"/>
              </w:rPr>
              <w:t>2013 / 2014</w:t>
            </w:r>
          </w:p>
        </w:tc>
        <w:tc>
          <w:tcPr>
            <w:tcW w:w="3811" w:type="dxa"/>
            <w:tcBorders>
              <w:top w:val="single" w:sz="18" w:space="0" w:color="FFFFFF"/>
              <w:left w:val="single" w:sz="18" w:space="0" w:color="FFFFFF"/>
              <w:bottom w:val="single" w:sz="18" w:space="0" w:color="FFFFFF"/>
              <w:right w:val="single" w:sz="18" w:space="0" w:color="FFFFFF"/>
            </w:tcBorders>
            <w:shd w:val="clear" w:color="auto" w:fill="DBE5F1" w:themeFill="accent1" w:themeFillTint="33"/>
            <w:vAlign w:val="center"/>
          </w:tcPr>
          <w:p w:rsidR="00D332DA" w:rsidRPr="005A2519" w:rsidRDefault="005A2519" w:rsidP="00D332DA">
            <w:pPr>
              <w:spacing w:before="120" w:after="120"/>
              <w:jc w:val="center"/>
              <w:rPr>
                <w:rFonts w:ascii="Arial" w:hAnsi="Arial" w:cs="Arial"/>
                <w:sz w:val="20"/>
                <w:szCs w:val="20"/>
                <w:highlight w:val="yellow"/>
              </w:rPr>
            </w:pPr>
            <w:r w:rsidRPr="005A2519">
              <w:rPr>
                <w:rFonts w:ascii="Arial" w:hAnsi="Arial" w:cs="Arial"/>
                <w:color w:val="000000" w:themeColor="text1"/>
                <w:sz w:val="20"/>
                <w:szCs w:val="20"/>
              </w:rPr>
              <w:t>$24,903,000</w:t>
            </w:r>
          </w:p>
        </w:tc>
      </w:tr>
      <w:tr w:rsidR="00D332DA" w:rsidRPr="008F27A1" w:rsidTr="00315B52">
        <w:trPr>
          <w:trHeight w:val="300"/>
        </w:trPr>
        <w:tc>
          <w:tcPr>
            <w:tcW w:w="2687" w:type="dxa"/>
            <w:tcBorders>
              <w:top w:val="single" w:sz="18" w:space="0" w:color="FFFFFF"/>
              <w:left w:val="single" w:sz="18" w:space="0" w:color="FFFFFF"/>
              <w:bottom w:val="single" w:sz="18" w:space="0" w:color="FFFFFF"/>
              <w:right w:val="single" w:sz="18" w:space="0" w:color="FFFFFF"/>
            </w:tcBorders>
            <w:shd w:val="clear" w:color="auto" w:fill="DBE5F1" w:themeFill="accent1" w:themeFillTint="33"/>
            <w:vAlign w:val="center"/>
          </w:tcPr>
          <w:p w:rsidR="00D332DA" w:rsidRPr="008F27A1" w:rsidRDefault="00D332DA" w:rsidP="00D332DA">
            <w:pPr>
              <w:spacing w:before="120" w:after="120"/>
              <w:jc w:val="center"/>
              <w:rPr>
                <w:rFonts w:ascii="Arial" w:hAnsi="Arial" w:cs="Arial"/>
                <w:sz w:val="20"/>
                <w:szCs w:val="20"/>
              </w:rPr>
            </w:pPr>
            <w:r w:rsidRPr="008F27A1">
              <w:rPr>
                <w:rFonts w:ascii="Arial" w:hAnsi="Arial" w:cs="Arial"/>
                <w:sz w:val="20"/>
                <w:szCs w:val="20"/>
              </w:rPr>
              <w:t>2014 / 2015</w:t>
            </w:r>
          </w:p>
        </w:tc>
        <w:tc>
          <w:tcPr>
            <w:tcW w:w="3811" w:type="dxa"/>
            <w:tcBorders>
              <w:top w:val="single" w:sz="18" w:space="0" w:color="FFFFFF"/>
              <w:left w:val="single" w:sz="18" w:space="0" w:color="FFFFFF"/>
              <w:bottom w:val="single" w:sz="18" w:space="0" w:color="FFFFFF"/>
              <w:right w:val="single" w:sz="18" w:space="0" w:color="FFFFFF"/>
            </w:tcBorders>
            <w:shd w:val="clear" w:color="auto" w:fill="DBE5F1" w:themeFill="accent1" w:themeFillTint="33"/>
            <w:vAlign w:val="center"/>
          </w:tcPr>
          <w:p w:rsidR="00D332DA" w:rsidRPr="005A2519" w:rsidRDefault="005A2519" w:rsidP="00D332DA">
            <w:pPr>
              <w:spacing w:before="120" w:after="120"/>
              <w:jc w:val="center"/>
              <w:rPr>
                <w:rFonts w:ascii="Arial" w:hAnsi="Arial" w:cs="Arial"/>
                <w:sz w:val="20"/>
                <w:szCs w:val="20"/>
                <w:highlight w:val="yellow"/>
              </w:rPr>
            </w:pPr>
            <w:r w:rsidRPr="005A2519">
              <w:rPr>
                <w:rFonts w:ascii="Arial" w:hAnsi="Arial" w:cs="Arial"/>
                <w:color w:val="000000" w:themeColor="text1"/>
                <w:sz w:val="20"/>
                <w:szCs w:val="20"/>
              </w:rPr>
              <w:t>$26,282,000</w:t>
            </w:r>
          </w:p>
        </w:tc>
      </w:tr>
      <w:tr w:rsidR="00D332DA" w:rsidRPr="008F27A1" w:rsidTr="00315B52">
        <w:trPr>
          <w:trHeight w:val="300"/>
        </w:trPr>
        <w:tc>
          <w:tcPr>
            <w:tcW w:w="2687" w:type="dxa"/>
            <w:tcBorders>
              <w:top w:val="single" w:sz="18" w:space="0" w:color="FFFFFF"/>
              <w:left w:val="single" w:sz="18" w:space="0" w:color="FFFFFF"/>
              <w:bottom w:val="single" w:sz="18" w:space="0" w:color="FFFFFF"/>
              <w:right w:val="single" w:sz="18" w:space="0" w:color="FFFFFF"/>
            </w:tcBorders>
            <w:shd w:val="clear" w:color="auto" w:fill="DBE5F1" w:themeFill="accent1" w:themeFillTint="33"/>
            <w:vAlign w:val="center"/>
          </w:tcPr>
          <w:p w:rsidR="00D332DA" w:rsidRPr="008F27A1" w:rsidRDefault="00D332DA" w:rsidP="00D332DA">
            <w:pPr>
              <w:spacing w:before="120" w:after="120"/>
              <w:jc w:val="center"/>
              <w:rPr>
                <w:rFonts w:ascii="Arial" w:hAnsi="Arial" w:cs="Arial"/>
                <w:sz w:val="20"/>
                <w:szCs w:val="20"/>
              </w:rPr>
            </w:pPr>
            <w:r w:rsidRPr="008F27A1">
              <w:rPr>
                <w:rFonts w:ascii="Arial" w:hAnsi="Arial" w:cs="Arial"/>
                <w:sz w:val="20"/>
                <w:szCs w:val="20"/>
              </w:rPr>
              <w:t>2015 / 2016</w:t>
            </w:r>
          </w:p>
        </w:tc>
        <w:tc>
          <w:tcPr>
            <w:tcW w:w="3811" w:type="dxa"/>
            <w:tcBorders>
              <w:top w:val="single" w:sz="18" w:space="0" w:color="FFFFFF"/>
              <w:left w:val="single" w:sz="18" w:space="0" w:color="FFFFFF"/>
              <w:bottom w:val="single" w:sz="18" w:space="0" w:color="FFFFFF"/>
              <w:right w:val="single" w:sz="18" w:space="0" w:color="FFFFFF"/>
            </w:tcBorders>
            <w:shd w:val="clear" w:color="auto" w:fill="DBE5F1" w:themeFill="accent1" w:themeFillTint="33"/>
            <w:vAlign w:val="center"/>
          </w:tcPr>
          <w:p w:rsidR="00D332DA" w:rsidRPr="008F27A1" w:rsidRDefault="002058AB" w:rsidP="002058AB">
            <w:pPr>
              <w:spacing w:before="120" w:after="120"/>
              <w:jc w:val="center"/>
              <w:rPr>
                <w:rFonts w:ascii="Arial" w:hAnsi="Arial" w:cs="Arial"/>
                <w:sz w:val="20"/>
                <w:szCs w:val="20"/>
              </w:rPr>
            </w:pPr>
            <w:r w:rsidRPr="002058AB">
              <w:rPr>
                <w:rFonts w:ascii="Arial" w:hAnsi="Arial" w:cs="Arial"/>
                <w:sz w:val="20"/>
                <w:szCs w:val="20"/>
              </w:rPr>
              <w:t>$</w:t>
            </w:r>
            <w:r w:rsidR="0097554F">
              <w:rPr>
                <w:rFonts w:ascii="Arial" w:hAnsi="Arial" w:cs="Arial"/>
                <w:sz w:val="20"/>
                <w:szCs w:val="20"/>
              </w:rPr>
              <w:t>27</w:t>
            </w:r>
            <w:r w:rsidR="00AC2F1A" w:rsidRPr="002058AB">
              <w:rPr>
                <w:rFonts w:ascii="Arial" w:hAnsi="Arial" w:cs="Arial"/>
                <w:sz w:val="20"/>
                <w:szCs w:val="20"/>
              </w:rPr>
              <w:t>,</w:t>
            </w:r>
            <w:r w:rsidRPr="002058AB">
              <w:rPr>
                <w:rFonts w:ascii="Arial" w:hAnsi="Arial" w:cs="Arial"/>
                <w:sz w:val="20"/>
                <w:szCs w:val="20"/>
              </w:rPr>
              <w:t>745</w:t>
            </w:r>
            <w:r w:rsidR="00AC2F1A" w:rsidRPr="002058AB">
              <w:rPr>
                <w:rFonts w:ascii="Arial" w:hAnsi="Arial" w:cs="Arial"/>
                <w:sz w:val="20"/>
                <w:szCs w:val="20"/>
              </w:rPr>
              <w:t>,000</w:t>
            </w:r>
            <w:r w:rsidR="008C21EA" w:rsidRPr="002058AB">
              <w:rPr>
                <w:rStyle w:val="FootnoteReference"/>
                <w:rFonts w:ascii="Arial" w:hAnsi="Arial" w:cs="Arial"/>
                <w:sz w:val="20"/>
                <w:szCs w:val="20"/>
              </w:rPr>
              <w:footnoteReference w:id="7"/>
            </w:r>
            <w:r w:rsidR="00AC2F1A">
              <w:rPr>
                <w:rFonts w:ascii="Arial" w:hAnsi="Arial" w:cs="Arial"/>
                <w:sz w:val="20"/>
                <w:szCs w:val="20"/>
              </w:rPr>
              <w:t xml:space="preserve"> </w:t>
            </w:r>
          </w:p>
        </w:tc>
      </w:tr>
      <w:tr w:rsidR="00D332DA" w:rsidRPr="008F27A1" w:rsidTr="00315B52">
        <w:trPr>
          <w:trHeight w:val="300"/>
        </w:trPr>
        <w:tc>
          <w:tcPr>
            <w:tcW w:w="2687" w:type="dxa"/>
            <w:tcBorders>
              <w:top w:val="single" w:sz="18" w:space="0" w:color="FFFFFF"/>
              <w:left w:val="single" w:sz="18" w:space="0" w:color="FFFFFF"/>
              <w:bottom w:val="single" w:sz="18" w:space="0" w:color="FFFFFF"/>
              <w:right w:val="single" w:sz="18" w:space="0" w:color="FFFFFF"/>
            </w:tcBorders>
            <w:shd w:val="clear" w:color="auto" w:fill="DBE5F1" w:themeFill="accent1" w:themeFillTint="33"/>
            <w:vAlign w:val="center"/>
          </w:tcPr>
          <w:p w:rsidR="00D332DA" w:rsidRPr="008F27A1" w:rsidRDefault="00D332DA" w:rsidP="00D332DA">
            <w:pPr>
              <w:spacing w:before="120" w:after="120"/>
              <w:jc w:val="center"/>
              <w:rPr>
                <w:rFonts w:ascii="Arial" w:hAnsi="Arial" w:cs="Arial"/>
                <w:sz w:val="20"/>
                <w:szCs w:val="20"/>
              </w:rPr>
            </w:pPr>
            <w:r>
              <w:rPr>
                <w:rFonts w:ascii="Arial" w:hAnsi="Arial" w:cs="Arial"/>
                <w:sz w:val="20"/>
                <w:szCs w:val="20"/>
              </w:rPr>
              <w:t>2016 / 2017</w:t>
            </w:r>
          </w:p>
        </w:tc>
        <w:tc>
          <w:tcPr>
            <w:tcW w:w="3811" w:type="dxa"/>
            <w:tcBorders>
              <w:top w:val="single" w:sz="18" w:space="0" w:color="FFFFFF"/>
              <w:left w:val="single" w:sz="18" w:space="0" w:color="FFFFFF"/>
              <w:bottom w:val="single" w:sz="18" w:space="0" w:color="FFFFFF"/>
              <w:right w:val="single" w:sz="18" w:space="0" w:color="FFFFFF"/>
            </w:tcBorders>
            <w:shd w:val="clear" w:color="auto" w:fill="DBE5F1" w:themeFill="accent1" w:themeFillTint="33"/>
            <w:vAlign w:val="center"/>
          </w:tcPr>
          <w:p w:rsidR="00D332DA" w:rsidRPr="008F27A1" w:rsidRDefault="002058AB" w:rsidP="002058AB">
            <w:pPr>
              <w:spacing w:before="120" w:after="120"/>
              <w:jc w:val="center"/>
              <w:rPr>
                <w:rFonts w:ascii="Arial" w:hAnsi="Arial" w:cs="Arial"/>
                <w:sz w:val="20"/>
                <w:szCs w:val="20"/>
              </w:rPr>
            </w:pPr>
            <w:r>
              <w:rPr>
                <w:rFonts w:ascii="Arial" w:hAnsi="Arial" w:cs="Arial"/>
                <w:sz w:val="20"/>
                <w:szCs w:val="20"/>
              </w:rPr>
              <w:t>$</w:t>
            </w:r>
            <w:r w:rsidR="0097554F">
              <w:rPr>
                <w:rFonts w:ascii="Arial" w:hAnsi="Arial" w:cs="Arial"/>
                <w:sz w:val="20"/>
                <w:szCs w:val="20"/>
              </w:rPr>
              <w:t>29</w:t>
            </w:r>
            <w:r w:rsidR="009731EF" w:rsidRPr="009731EF">
              <w:rPr>
                <w:rFonts w:ascii="Arial" w:hAnsi="Arial" w:cs="Arial"/>
                <w:sz w:val="20"/>
                <w:szCs w:val="20"/>
              </w:rPr>
              <w:t>,9</w:t>
            </w:r>
            <w:r>
              <w:rPr>
                <w:rFonts w:ascii="Arial" w:hAnsi="Arial" w:cs="Arial"/>
                <w:sz w:val="20"/>
                <w:szCs w:val="20"/>
              </w:rPr>
              <w:t>01</w:t>
            </w:r>
            <w:r w:rsidR="00D332DA" w:rsidRPr="009731EF">
              <w:rPr>
                <w:rFonts w:ascii="Arial" w:hAnsi="Arial" w:cs="Arial"/>
                <w:sz w:val="20"/>
                <w:szCs w:val="20"/>
              </w:rPr>
              <w:t>,000</w:t>
            </w:r>
            <w:r w:rsidR="00CD7F57" w:rsidRPr="009731EF">
              <w:rPr>
                <w:rStyle w:val="FootnoteReference"/>
                <w:rFonts w:ascii="Arial" w:hAnsi="Arial" w:cs="Arial"/>
                <w:sz w:val="20"/>
                <w:szCs w:val="20"/>
              </w:rPr>
              <w:footnoteReference w:id="8"/>
            </w:r>
          </w:p>
        </w:tc>
      </w:tr>
    </w:tbl>
    <w:p w:rsidR="00315B52" w:rsidRPr="008F27A1" w:rsidRDefault="00315B52" w:rsidP="00315B52">
      <w:pPr>
        <w:autoSpaceDE w:val="0"/>
        <w:autoSpaceDN w:val="0"/>
        <w:adjustRightInd w:val="0"/>
        <w:jc w:val="center"/>
        <w:rPr>
          <w:rFonts w:ascii="Arial" w:hAnsi="Arial" w:cs="Arial"/>
          <w:b/>
          <w:sz w:val="20"/>
          <w:szCs w:val="20"/>
        </w:rPr>
      </w:pPr>
    </w:p>
    <w:p w:rsidR="00315B52" w:rsidRPr="008F27A1" w:rsidRDefault="00315B52" w:rsidP="00315B52">
      <w:pPr>
        <w:autoSpaceDE w:val="0"/>
        <w:autoSpaceDN w:val="0"/>
        <w:adjustRightInd w:val="0"/>
        <w:jc w:val="center"/>
        <w:rPr>
          <w:rFonts w:ascii="Arial" w:hAnsi="Arial" w:cs="Arial"/>
          <w:b/>
          <w:sz w:val="20"/>
          <w:szCs w:val="20"/>
        </w:rPr>
      </w:pPr>
    </w:p>
    <w:p w:rsidR="00315B52" w:rsidRPr="008F27A1" w:rsidRDefault="00315B52" w:rsidP="00315B52">
      <w:pPr>
        <w:autoSpaceDE w:val="0"/>
        <w:autoSpaceDN w:val="0"/>
        <w:adjustRightInd w:val="0"/>
        <w:jc w:val="center"/>
        <w:rPr>
          <w:rFonts w:ascii="Arial" w:hAnsi="Arial" w:cs="Arial"/>
          <w:b/>
          <w:sz w:val="20"/>
          <w:szCs w:val="20"/>
        </w:rPr>
      </w:pPr>
    </w:p>
    <w:p w:rsidR="00315B52" w:rsidRPr="008F27A1" w:rsidRDefault="00315B52" w:rsidP="00315B52">
      <w:pPr>
        <w:autoSpaceDE w:val="0"/>
        <w:autoSpaceDN w:val="0"/>
        <w:adjustRightInd w:val="0"/>
        <w:jc w:val="center"/>
        <w:rPr>
          <w:rFonts w:ascii="Arial" w:hAnsi="Arial" w:cs="Arial"/>
          <w:sz w:val="20"/>
          <w:szCs w:val="20"/>
        </w:rPr>
      </w:pPr>
    </w:p>
    <w:p w:rsidR="00315B52" w:rsidRPr="008F27A1" w:rsidRDefault="00315B52" w:rsidP="00315B52">
      <w:pPr>
        <w:autoSpaceDE w:val="0"/>
        <w:autoSpaceDN w:val="0"/>
        <w:adjustRightInd w:val="0"/>
        <w:rPr>
          <w:rFonts w:ascii="Arial" w:hAnsi="Arial" w:cs="Arial"/>
          <w:sz w:val="20"/>
          <w:szCs w:val="20"/>
        </w:rPr>
      </w:pPr>
    </w:p>
    <w:p w:rsidR="00315B52" w:rsidRPr="008F27A1" w:rsidRDefault="00315B52" w:rsidP="00315B52">
      <w:pPr>
        <w:autoSpaceDE w:val="0"/>
        <w:autoSpaceDN w:val="0"/>
        <w:adjustRightInd w:val="0"/>
        <w:rPr>
          <w:rFonts w:ascii="Arial" w:hAnsi="Arial" w:cs="Arial"/>
          <w:sz w:val="20"/>
          <w:szCs w:val="20"/>
        </w:rPr>
      </w:pPr>
    </w:p>
    <w:p w:rsidR="00315B52" w:rsidRPr="008F27A1" w:rsidRDefault="00315B52" w:rsidP="00315B52">
      <w:pPr>
        <w:autoSpaceDE w:val="0"/>
        <w:autoSpaceDN w:val="0"/>
        <w:adjustRightInd w:val="0"/>
        <w:rPr>
          <w:rFonts w:ascii="Arial" w:hAnsi="Arial" w:cs="Arial"/>
          <w:sz w:val="20"/>
          <w:szCs w:val="20"/>
        </w:rPr>
      </w:pPr>
    </w:p>
    <w:p w:rsidR="00315B52" w:rsidRPr="008F27A1" w:rsidRDefault="00315B52" w:rsidP="00315B52">
      <w:pPr>
        <w:autoSpaceDE w:val="0"/>
        <w:autoSpaceDN w:val="0"/>
        <w:adjustRightInd w:val="0"/>
        <w:rPr>
          <w:rFonts w:ascii="Arial" w:hAnsi="Arial" w:cs="Arial"/>
          <w:sz w:val="20"/>
          <w:szCs w:val="20"/>
        </w:rPr>
      </w:pPr>
    </w:p>
    <w:p w:rsidR="00315B52" w:rsidRPr="008F27A1" w:rsidRDefault="00315B52" w:rsidP="00315B52">
      <w:pPr>
        <w:autoSpaceDE w:val="0"/>
        <w:autoSpaceDN w:val="0"/>
        <w:adjustRightInd w:val="0"/>
        <w:rPr>
          <w:rFonts w:ascii="Arial" w:hAnsi="Arial" w:cs="Arial"/>
          <w:sz w:val="20"/>
          <w:szCs w:val="20"/>
        </w:rPr>
      </w:pPr>
    </w:p>
    <w:p w:rsidR="00315B52" w:rsidRPr="008F27A1" w:rsidRDefault="00315B52" w:rsidP="00315B52">
      <w:pPr>
        <w:autoSpaceDE w:val="0"/>
        <w:autoSpaceDN w:val="0"/>
        <w:adjustRightInd w:val="0"/>
        <w:rPr>
          <w:rFonts w:ascii="Arial" w:hAnsi="Arial" w:cs="Arial"/>
          <w:sz w:val="20"/>
          <w:szCs w:val="20"/>
        </w:rPr>
      </w:pPr>
    </w:p>
    <w:p w:rsidR="00315B52" w:rsidRPr="008F27A1" w:rsidRDefault="00315B52" w:rsidP="00315B52">
      <w:pPr>
        <w:autoSpaceDE w:val="0"/>
        <w:autoSpaceDN w:val="0"/>
        <w:adjustRightInd w:val="0"/>
        <w:rPr>
          <w:rFonts w:ascii="Arial" w:hAnsi="Arial" w:cs="Arial"/>
          <w:sz w:val="20"/>
          <w:szCs w:val="20"/>
        </w:rPr>
      </w:pPr>
    </w:p>
    <w:p w:rsidR="00315B52" w:rsidRPr="008F27A1" w:rsidRDefault="00315B52" w:rsidP="00315B52">
      <w:pPr>
        <w:autoSpaceDE w:val="0"/>
        <w:autoSpaceDN w:val="0"/>
        <w:adjustRightInd w:val="0"/>
        <w:jc w:val="both"/>
        <w:rPr>
          <w:rFonts w:ascii="Arial" w:hAnsi="Arial" w:cs="Arial"/>
          <w:sz w:val="20"/>
          <w:szCs w:val="20"/>
        </w:rPr>
      </w:pPr>
      <w:r w:rsidRPr="008F27A1">
        <w:rPr>
          <w:rFonts w:ascii="Arial" w:hAnsi="Arial" w:cs="Arial"/>
          <w:sz w:val="20"/>
          <w:szCs w:val="20"/>
        </w:rPr>
        <w:br/>
      </w:r>
    </w:p>
    <w:p w:rsidR="00315B52" w:rsidRPr="008F27A1" w:rsidRDefault="00315B52" w:rsidP="00315B52">
      <w:pPr>
        <w:autoSpaceDE w:val="0"/>
        <w:autoSpaceDN w:val="0"/>
        <w:adjustRightInd w:val="0"/>
        <w:jc w:val="both"/>
        <w:rPr>
          <w:rFonts w:ascii="Arial" w:hAnsi="Arial" w:cs="Arial"/>
          <w:sz w:val="20"/>
          <w:szCs w:val="20"/>
        </w:rPr>
      </w:pPr>
    </w:p>
    <w:p w:rsidR="00315B52" w:rsidRPr="008F27A1" w:rsidRDefault="00315B52" w:rsidP="00315B52">
      <w:pPr>
        <w:autoSpaceDE w:val="0"/>
        <w:autoSpaceDN w:val="0"/>
        <w:adjustRightInd w:val="0"/>
        <w:jc w:val="both"/>
        <w:rPr>
          <w:rFonts w:ascii="Arial" w:hAnsi="Arial" w:cs="Arial"/>
          <w:sz w:val="20"/>
          <w:szCs w:val="20"/>
        </w:rPr>
      </w:pPr>
    </w:p>
    <w:p w:rsidR="00315B52" w:rsidRDefault="00315B52" w:rsidP="00315B52">
      <w:pPr>
        <w:autoSpaceDE w:val="0"/>
        <w:autoSpaceDN w:val="0"/>
        <w:adjustRightInd w:val="0"/>
        <w:jc w:val="both"/>
        <w:rPr>
          <w:rFonts w:ascii="Arial" w:hAnsi="Arial" w:cs="Arial"/>
          <w:sz w:val="20"/>
          <w:szCs w:val="20"/>
        </w:rPr>
      </w:pPr>
    </w:p>
    <w:p w:rsidR="00315B52" w:rsidRDefault="00315B52" w:rsidP="00315B52">
      <w:pPr>
        <w:autoSpaceDE w:val="0"/>
        <w:autoSpaceDN w:val="0"/>
        <w:adjustRightInd w:val="0"/>
        <w:jc w:val="both"/>
        <w:rPr>
          <w:rFonts w:ascii="Arial" w:hAnsi="Arial" w:cs="Arial"/>
          <w:sz w:val="20"/>
          <w:szCs w:val="20"/>
        </w:rPr>
      </w:pPr>
    </w:p>
    <w:p w:rsidR="00315B52" w:rsidRDefault="00315B52" w:rsidP="00315B52">
      <w:pPr>
        <w:autoSpaceDE w:val="0"/>
        <w:autoSpaceDN w:val="0"/>
        <w:adjustRightInd w:val="0"/>
        <w:jc w:val="both"/>
        <w:rPr>
          <w:rFonts w:ascii="Arial" w:hAnsi="Arial" w:cs="Arial"/>
          <w:sz w:val="20"/>
          <w:szCs w:val="20"/>
        </w:rPr>
      </w:pPr>
    </w:p>
    <w:p w:rsidR="00BD6C54" w:rsidRDefault="00315B52" w:rsidP="00267E21">
      <w:pPr>
        <w:autoSpaceDE w:val="0"/>
        <w:autoSpaceDN w:val="0"/>
        <w:adjustRightInd w:val="0"/>
        <w:spacing w:before="120" w:line="288" w:lineRule="auto"/>
        <w:jc w:val="both"/>
        <w:rPr>
          <w:rFonts w:ascii="Arial" w:hAnsi="Arial" w:cs="Arial"/>
          <w:sz w:val="20"/>
          <w:szCs w:val="20"/>
        </w:rPr>
      </w:pPr>
      <w:r w:rsidRPr="00956DCD">
        <w:rPr>
          <w:rFonts w:ascii="Arial" w:hAnsi="Arial" w:cs="Arial"/>
          <w:sz w:val="20"/>
          <w:szCs w:val="20"/>
        </w:rPr>
        <w:t>ORA develops its budget internally</w:t>
      </w:r>
      <w:r w:rsidR="008C6668">
        <w:rPr>
          <w:rFonts w:ascii="Arial" w:hAnsi="Arial" w:cs="Arial"/>
          <w:sz w:val="20"/>
          <w:szCs w:val="20"/>
        </w:rPr>
        <w:t>,</w:t>
      </w:r>
      <w:r w:rsidR="00CB5FC8">
        <w:rPr>
          <w:rStyle w:val="FootnoteReference"/>
          <w:rFonts w:ascii="Arial" w:hAnsi="Arial" w:cs="Arial"/>
          <w:sz w:val="20"/>
          <w:szCs w:val="20"/>
        </w:rPr>
        <w:footnoteReference w:id="9"/>
      </w:r>
      <w:r w:rsidR="00C31EC7">
        <w:rPr>
          <w:rFonts w:ascii="Arial" w:hAnsi="Arial" w:cs="Arial"/>
          <w:sz w:val="20"/>
          <w:szCs w:val="20"/>
        </w:rPr>
        <w:t xml:space="preserve"> including the cost of shared resources with the </w:t>
      </w:r>
      <w:r w:rsidR="000D74D1">
        <w:rPr>
          <w:rFonts w:ascii="Arial" w:hAnsi="Arial" w:cs="Arial"/>
          <w:sz w:val="20"/>
          <w:szCs w:val="20"/>
        </w:rPr>
        <w:t>C</w:t>
      </w:r>
      <w:r w:rsidR="00C31EC7">
        <w:rPr>
          <w:rFonts w:ascii="Arial" w:hAnsi="Arial" w:cs="Arial"/>
          <w:sz w:val="20"/>
          <w:szCs w:val="20"/>
        </w:rPr>
        <w:t>PUC such as infrastructure, human resources</w:t>
      </w:r>
      <w:r w:rsidR="000D74D1">
        <w:rPr>
          <w:rFonts w:ascii="Arial" w:hAnsi="Arial" w:cs="Arial"/>
          <w:sz w:val="20"/>
          <w:szCs w:val="20"/>
        </w:rPr>
        <w:t>,</w:t>
      </w:r>
      <w:r w:rsidR="00C31EC7">
        <w:rPr>
          <w:rFonts w:ascii="Arial" w:hAnsi="Arial" w:cs="Arial"/>
          <w:sz w:val="20"/>
          <w:szCs w:val="20"/>
        </w:rPr>
        <w:t xml:space="preserve"> and information services. </w:t>
      </w:r>
      <w:r w:rsidRPr="00956DCD">
        <w:rPr>
          <w:rFonts w:ascii="Arial" w:hAnsi="Arial" w:cs="Arial"/>
          <w:sz w:val="20"/>
          <w:szCs w:val="20"/>
        </w:rPr>
        <w:t>ORA’s budget is statutorily designated as a separate account into which funds are annually transferred</w:t>
      </w:r>
      <w:r w:rsidR="000D74D1">
        <w:rPr>
          <w:rFonts w:ascii="Arial" w:hAnsi="Arial" w:cs="Arial"/>
          <w:sz w:val="20"/>
          <w:szCs w:val="20"/>
        </w:rPr>
        <w:t>,</w:t>
      </w:r>
      <w:r w:rsidRPr="00956DCD">
        <w:rPr>
          <w:rFonts w:ascii="Arial" w:hAnsi="Arial" w:cs="Arial"/>
          <w:sz w:val="20"/>
          <w:szCs w:val="20"/>
        </w:rPr>
        <w:t xml:space="preserve"> via the annual Budget Act</w:t>
      </w:r>
      <w:r w:rsidR="000D74D1">
        <w:rPr>
          <w:rFonts w:ascii="Arial" w:hAnsi="Arial" w:cs="Arial"/>
          <w:sz w:val="20"/>
          <w:szCs w:val="20"/>
        </w:rPr>
        <w:t>,</w:t>
      </w:r>
      <w:r w:rsidRPr="00956DCD">
        <w:rPr>
          <w:rFonts w:ascii="Arial" w:hAnsi="Arial" w:cs="Arial"/>
          <w:sz w:val="20"/>
          <w:szCs w:val="20"/>
        </w:rPr>
        <w:t xml:space="preserve"> to the CPUC Ratepayer Advocate Account, to be used exclusively by ORA in the perfor</w:t>
      </w:r>
      <w:r w:rsidR="002B4EAF">
        <w:rPr>
          <w:rFonts w:ascii="Arial" w:hAnsi="Arial" w:cs="Arial"/>
          <w:sz w:val="20"/>
          <w:szCs w:val="20"/>
        </w:rPr>
        <w:t xml:space="preserve">mance of its duties. </w:t>
      </w:r>
      <w:r w:rsidR="002B4EAF" w:rsidRPr="009731EF">
        <w:rPr>
          <w:rFonts w:ascii="Arial" w:hAnsi="Arial" w:cs="Arial"/>
          <w:sz w:val="20"/>
          <w:szCs w:val="20"/>
        </w:rPr>
        <w:t>ORA’s $</w:t>
      </w:r>
      <w:r w:rsidR="008B6C0E">
        <w:rPr>
          <w:rFonts w:ascii="Arial" w:hAnsi="Arial" w:cs="Arial"/>
          <w:sz w:val="20"/>
          <w:szCs w:val="20"/>
        </w:rPr>
        <w:t>29</w:t>
      </w:r>
      <w:r w:rsidR="002B4EAF" w:rsidRPr="009731EF">
        <w:rPr>
          <w:rFonts w:ascii="Arial" w:hAnsi="Arial" w:cs="Arial"/>
          <w:sz w:val="20"/>
          <w:szCs w:val="20"/>
        </w:rPr>
        <w:t>,9</w:t>
      </w:r>
      <w:r w:rsidR="008B2660">
        <w:rPr>
          <w:rFonts w:ascii="Arial" w:hAnsi="Arial" w:cs="Arial"/>
          <w:sz w:val="20"/>
          <w:szCs w:val="20"/>
        </w:rPr>
        <w:t>01</w:t>
      </w:r>
      <w:r w:rsidR="002B4EAF" w:rsidRPr="009731EF">
        <w:rPr>
          <w:rFonts w:ascii="Arial" w:hAnsi="Arial" w:cs="Arial"/>
          <w:sz w:val="20"/>
          <w:szCs w:val="20"/>
        </w:rPr>
        <w:t>,000</w:t>
      </w:r>
      <w:r w:rsidRPr="00956DCD">
        <w:rPr>
          <w:rFonts w:ascii="Arial" w:hAnsi="Arial" w:cs="Arial"/>
          <w:sz w:val="20"/>
          <w:szCs w:val="20"/>
        </w:rPr>
        <w:t xml:space="preserve"> million proposed budget for fiscal year </w:t>
      </w:r>
      <w:r w:rsidRPr="009731EF">
        <w:rPr>
          <w:rFonts w:ascii="Arial" w:hAnsi="Arial" w:cs="Arial"/>
          <w:sz w:val="20"/>
          <w:szCs w:val="20"/>
        </w:rPr>
        <w:t>201</w:t>
      </w:r>
      <w:r w:rsidR="009731EF">
        <w:rPr>
          <w:rFonts w:ascii="Arial" w:hAnsi="Arial" w:cs="Arial"/>
          <w:sz w:val="20"/>
          <w:szCs w:val="20"/>
        </w:rPr>
        <w:t>6</w:t>
      </w:r>
      <w:r w:rsidRPr="009731EF">
        <w:rPr>
          <w:rFonts w:ascii="Arial" w:hAnsi="Arial" w:cs="Arial"/>
          <w:sz w:val="20"/>
          <w:szCs w:val="20"/>
        </w:rPr>
        <w:t xml:space="preserve"> / 201</w:t>
      </w:r>
      <w:r w:rsidR="009731EF">
        <w:rPr>
          <w:rFonts w:ascii="Arial" w:hAnsi="Arial" w:cs="Arial"/>
          <w:sz w:val="20"/>
          <w:szCs w:val="20"/>
        </w:rPr>
        <w:t>7</w:t>
      </w:r>
      <w:r w:rsidRPr="009731EF">
        <w:rPr>
          <w:rFonts w:ascii="Arial" w:hAnsi="Arial" w:cs="Arial"/>
          <w:sz w:val="20"/>
          <w:szCs w:val="20"/>
        </w:rPr>
        <w:t xml:space="preserve"> is a </w:t>
      </w:r>
      <w:r w:rsidRPr="00850F0A">
        <w:rPr>
          <w:rFonts w:ascii="Arial" w:hAnsi="Arial" w:cs="Arial"/>
          <w:sz w:val="20"/>
          <w:szCs w:val="20"/>
        </w:rPr>
        <w:t>small</w:t>
      </w:r>
      <w:r w:rsidRPr="009731EF">
        <w:rPr>
          <w:rFonts w:ascii="Arial" w:hAnsi="Arial" w:cs="Arial"/>
          <w:sz w:val="20"/>
          <w:szCs w:val="20"/>
        </w:rPr>
        <w:t xml:space="preserve"> increase over the previous year due to adjustments applicable to all state agencies.</w:t>
      </w:r>
      <w:r w:rsidRPr="00956DCD">
        <w:rPr>
          <w:rFonts w:ascii="Arial" w:hAnsi="Arial" w:cs="Arial"/>
          <w:sz w:val="20"/>
          <w:szCs w:val="20"/>
        </w:rPr>
        <w:t xml:space="preserve"> The total budget includes staffing, administrative overhead</w:t>
      </w:r>
      <w:r w:rsidR="000D74D1">
        <w:rPr>
          <w:rFonts w:ascii="Arial" w:hAnsi="Arial" w:cs="Arial"/>
          <w:sz w:val="20"/>
          <w:szCs w:val="20"/>
        </w:rPr>
        <w:t>,</w:t>
      </w:r>
      <w:r w:rsidR="00C31EC7">
        <w:rPr>
          <w:rFonts w:ascii="Arial" w:hAnsi="Arial" w:cs="Arial"/>
          <w:sz w:val="20"/>
          <w:szCs w:val="20"/>
        </w:rPr>
        <w:t xml:space="preserve"> and </w:t>
      </w:r>
      <w:r w:rsidR="008C6668">
        <w:rPr>
          <w:rFonts w:ascii="Arial" w:hAnsi="Arial" w:cs="Arial"/>
          <w:sz w:val="20"/>
          <w:szCs w:val="20"/>
        </w:rPr>
        <w:t>C</w:t>
      </w:r>
      <w:r w:rsidR="00C31EC7">
        <w:rPr>
          <w:rFonts w:ascii="Arial" w:hAnsi="Arial" w:cs="Arial"/>
          <w:sz w:val="20"/>
          <w:szCs w:val="20"/>
        </w:rPr>
        <w:t>PUC</w:t>
      </w:r>
      <w:r w:rsidR="008C6668">
        <w:rPr>
          <w:rFonts w:ascii="Arial" w:hAnsi="Arial" w:cs="Arial"/>
          <w:sz w:val="20"/>
          <w:szCs w:val="20"/>
        </w:rPr>
        <w:t xml:space="preserve"> </w:t>
      </w:r>
      <w:r w:rsidR="00C31EC7">
        <w:rPr>
          <w:rFonts w:ascii="Arial" w:hAnsi="Arial" w:cs="Arial"/>
          <w:sz w:val="20"/>
          <w:szCs w:val="20"/>
        </w:rPr>
        <w:t>/</w:t>
      </w:r>
      <w:r w:rsidR="008C6668">
        <w:rPr>
          <w:rFonts w:ascii="Arial" w:hAnsi="Arial" w:cs="Arial"/>
          <w:sz w:val="20"/>
          <w:szCs w:val="20"/>
        </w:rPr>
        <w:t xml:space="preserve"> </w:t>
      </w:r>
      <w:r w:rsidR="00C31EC7">
        <w:rPr>
          <w:rFonts w:ascii="Arial" w:hAnsi="Arial" w:cs="Arial"/>
          <w:sz w:val="20"/>
          <w:szCs w:val="20"/>
        </w:rPr>
        <w:t>ORA shared resources</w:t>
      </w:r>
      <w:r w:rsidR="003D4D3D">
        <w:rPr>
          <w:rFonts w:ascii="Arial" w:hAnsi="Arial" w:cs="Arial"/>
          <w:sz w:val="20"/>
          <w:szCs w:val="20"/>
        </w:rPr>
        <w:t>.</w:t>
      </w:r>
    </w:p>
    <w:p w:rsidR="00315B52" w:rsidRDefault="00315B52" w:rsidP="00315B52">
      <w:pPr>
        <w:rPr>
          <w:rFonts w:ascii="Arial" w:hAnsi="Arial" w:cs="Arial"/>
          <w:sz w:val="20"/>
          <w:szCs w:val="20"/>
        </w:rPr>
      </w:pPr>
    </w:p>
    <w:p w:rsidR="003057FC" w:rsidRDefault="003057FC" w:rsidP="00315B52">
      <w:pPr>
        <w:autoSpaceDE w:val="0"/>
        <w:autoSpaceDN w:val="0"/>
        <w:adjustRightInd w:val="0"/>
        <w:jc w:val="both"/>
        <w:rPr>
          <w:rFonts w:ascii="Arial" w:hAnsi="Arial" w:cs="Arial"/>
          <w:sz w:val="20"/>
          <w:szCs w:val="20"/>
        </w:rPr>
      </w:pPr>
    </w:p>
    <w:p w:rsidR="003057FC" w:rsidRDefault="003057FC" w:rsidP="00315B52">
      <w:pPr>
        <w:autoSpaceDE w:val="0"/>
        <w:autoSpaceDN w:val="0"/>
        <w:adjustRightInd w:val="0"/>
        <w:jc w:val="both"/>
        <w:rPr>
          <w:rFonts w:ascii="Arial" w:hAnsi="Arial" w:cs="Arial"/>
          <w:sz w:val="20"/>
          <w:szCs w:val="20"/>
        </w:rPr>
      </w:pPr>
    </w:p>
    <w:p w:rsidR="00CC0D22" w:rsidRDefault="00CC0D22" w:rsidP="00315B52">
      <w:pPr>
        <w:autoSpaceDE w:val="0"/>
        <w:autoSpaceDN w:val="0"/>
        <w:adjustRightInd w:val="0"/>
        <w:jc w:val="both"/>
        <w:rPr>
          <w:rFonts w:ascii="Arial" w:hAnsi="Arial" w:cs="Arial"/>
          <w:sz w:val="20"/>
          <w:szCs w:val="20"/>
        </w:rPr>
      </w:pPr>
    </w:p>
    <w:p w:rsidR="00315B52" w:rsidRPr="008F27A1" w:rsidRDefault="00315B52" w:rsidP="00315B52">
      <w:pPr>
        <w:autoSpaceDE w:val="0"/>
        <w:autoSpaceDN w:val="0"/>
        <w:adjustRightInd w:val="0"/>
        <w:jc w:val="both"/>
        <w:rPr>
          <w:rFonts w:ascii="Arial" w:hAnsi="Arial" w:cs="Arial"/>
          <w:sz w:val="20"/>
          <w:szCs w:val="20"/>
        </w:rPr>
      </w:pPr>
      <w:r w:rsidRPr="008F27A1">
        <w:rPr>
          <w:rFonts w:ascii="Arial" w:hAnsi="Arial" w:cs="Arial"/>
          <w:noProof/>
          <w:sz w:val="20"/>
          <w:szCs w:val="20"/>
        </w:rPr>
        <mc:AlternateContent>
          <mc:Choice Requires="wps">
            <w:drawing>
              <wp:inline distT="0" distB="0" distL="0" distR="0" wp14:anchorId="7A491412" wp14:editId="6094014E">
                <wp:extent cx="6438900" cy="286385"/>
                <wp:effectExtent l="0" t="0" r="0" b="0"/>
                <wp:docPr id="24" name="Text Box 5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86385"/>
                        </a:xfrm>
                        <a:prstGeom prst="rect">
                          <a:avLst/>
                        </a:prstGeom>
                        <a:solidFill>
                          <a:schemeClr val="tx1"/>
                        </a:solidFill>
                        <a:ln>
                          <a:noFill/>
                        </a:ln>
                        <a:extLst/>
                      </wps:spPr>
                      <wps:txbx>
                        <w:txbxContent>
                          <w:p w:rsidR="00CE6E80" w:rsidRPr="00794222" w:rsidRDefault="00CE6E80" w:rsidP="00315B52">
                            <w:pPr>
                              <w:rPr>
                                <w:rFonts w:ascii="Arial Black" w:hAnsi="Arial Black"/>
                                <w:color w:val="FFFFFF"/>
                              </w:rPr>
                            </w:pPr>
                            <w:r>
                              <w:rPr>
                                <w:rFonts w:ascii="Arial Black" w:eastAsia="Adobe Heiti Std R" w:hAnsi="Arial Black"/>
                                <w:b/>
                                <w:color w:val="FFFFFF"/>
                              </w:rPr>
                              <w:t>ORA Workload Standards and Measures</w:t>
                            </w:r>
                          </w:p>
                          <w:p w:rsidR="00CE6E80" w:rsidRPr="00794222" w:rsidRDefault="00CE6E80" w:rsidP="00315B52">
                            <w:pPr>
                              <w:spacing w:before="120"/>
                              <w:rPr>
                                <w:rFonts w:ascii="Arial Black" w:hAnsi="Arial Black"/>
                              </w:rPr>
                            </w:pPr>
                          </w:p>
                          <w:p w:rsidR="00CE6E80" w:rsidRPr="00794222" w:rsidRDefault="00CE6E80" w:rsidP="00315B52">
                            <w:pPr>
                              <w:spacing w:before="120"/>
                              <w:rPr>
                                <w:rFonts w:ascii="Arial Black" w:hAnsi="Arial Black"/>
                                <w:color w:val="003399"/>
                              </w:rPr>
                            </w:pPr>
                            <w:r w:rsidRPr="00794222">
                              <w:rPr>
                                <w:rFonts w:ascii="Arial Black" w:eastAsia="Adobe Heiti Std R" w:hAnsi="Arial Black"/>
                                <w:b/>
                                <w:color w:val="003399"/>
                              </w:rPr>
                              <w:t>PG&amp;E</w:t>
                            </w:r>
                          </w:p>
                        </w:txbxContent>
                      </wps:txbx>
                      <wps:bodyPr rot="0" vert="horz" wrap="square" lIns="91440" tIns="45720" rIns="91440" bIns="45720" anchor="t" anchorCtr="0" upright="1">
                        <a:noAutofit/>
                      </wps:bodyPr>
                    </wps:wsp>
                  </a:graphicData>
                </a:graphic>
              </wp:inline>
            </w:drawing>
          </mc:Choice>
          <mc:Fallback>
            <w:pict>
              <v:shape id="_x0000_s1061" type="#_x0000_t202" style="width:507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" fillcolor="black [3213]" stroked="f">
                <v:textbox>
                  <w:txbxContent>
                    <w:p w:rsidR="00CE6E80" w:rsidRPr="00794222" w:rsidRDefault="00CE6E80" w:rsidP="00315B52">
                      <w:pPr>
                        <w:rPr>
                          <w:rFonts w:ascii="Arial Black" w:hAnsi="Arial Black"/>
                          <w:color w:val="FFFFFF"/>
                        </w:rPr>
                      </w:pPr>
                      <w:r>
                        <w:rPr>
                          <w:rFonts w:ascii="Arial Black" w:eastAsia="Adobe Heiti Std R" w:hAnsi="Arial Black"/>
                          <w:b/>
                          <w:color w:val="FFFFFF"/>
                        </w:rPr>
                        <w:t>ORA Workload Standards and Measures</w:t>
                      </w:r>
                    </w:p>
                    <w:p w:rsidR="00CE6E80" w:rsidRPr="00794222" w:rsidRDefault="00CE6E80" w:rsidP="00315B52">
                      <w:pPr>
                        <w:spacing w:before="120"/>
                        <w:rPr>
                          <w:rFonts w:ascii="Arial Black" w:hAnsi="Arial Black"/>
                        </w:rPr>
                      </w:pPr>
                    </w:p>
                    <w:p w:rsidR="00CE6E80" w:rsidRPr="00794222" w:rsidRDefault="00CE6E80" w:rsidP="00315B52">
                      <w:pPr>
                        <w:spacing w:before="120"/>
                        <w:rPr>
                          <w:rFonts w:ascii="Arial Black" w:hAnsi="Arial Black"/>
                          <w:color w:val="003399"/>
                        </w:rPr>
                      </w:pPr>
                      <w:r w:rsidRPr="00794222">
                        <w:rPr>
                          <w:rFonts w:ascii="Arial Black" w:eastAsia="Adobe Heiti Std R" w:hAnsi="Arial Black"/>
                          <w:b/>
                          <w:color w:val="003399"/>
                        </w:rPr>
                        <w:t>PG&amp;E</w:t>
                      </w:r>
                    </w:p>
                  </w:txbxContent>
                </v:textbox>
                <w10:anchorlock/>
              </v:shape>
            </w:pict>
          </mc:Fallback>
        </mc:AlternateContent>
      </w:r>
    </w:p>
    <w:p w:rsidR="00315B52" w:rsidRPr="008F27A1" w:rsidRDefault="00315B52" w:rsidP="00315B52">
      <w:pPr>
        <w:autoSpaceDE w:val="0"/>
        <w:autoSpaceDN w:val="0"/>
        <w:adjustRightInd w:val="0"/>
        <w:spacing w:line="269" w:lineRule="auto"/>
        <w:jc w:val="both"/>
        <w:rPr>
          <w:rFonts w:ascii="Arial" w:hAnsi="Arial" w:cs="Arial"/>
          <w:b/>
          <w:bCs/>
          <w:color w:val="000000"/>
          <w:sz w:val="20"/>
          <w:szCs w:val="20"/>
        </w:rPr>
      </w:pPr>
    </w:p>
    <w:p w:rsidR="00315B52" w:rsidRPr="00956DCD" w:rsidRDefault="00315B52" w:rsidP="00315B52">
      <w:pPr>
        <w:autoSpaceDE w:val="0"/>
        <w:autoSpaceDN w:val="0"/>
        <w:adjustRightInd w:val="0"/>
        <w:spacing w:after="120" w:line="269" w:lineRule="auto"/>
        <w:rPr>
          <w:rFonts w:ascii="Arial Black" w:hAnsi="Arial Black" w:cs="Arial"/>
          <w:b/>
          <w:bCs/>
          <w:sz w:val="20"/>
          <w:szCs w:val="20"/>
        </w:rPr>
      </w:pPr>
      <w:r w:rsidRPr="00956DCD">
        <w:rPr>
          <w:rFonts w:ascii="Arial Black" w:hAnsi="Arial Black" w:cs="Arial"/>
          <w:b/>
          <w:bCs/>
          <w:sz w:val="20"/>
          <w:szCs w:val="20"/>
        </w:rPr>
        <w:t>ORA measures its workload in three ways:</w:t>
      </w:r>
    </w:p>
    <w:p w:rsidR="00315B52" w:rsidRPr="00956DCD" w:rsidRDefault="00315B52" w:rsidP="00267E21">
      <w:pPr>
        <w:pStyle w:val="ListParagraph0"/>
        <w:numPr>
          <w:ilvl w:val="0"/>
          <w:numId w:val="37"/>
        </w:numPr>
        <w:autoSpaceDE w:val="0"/>
        <w:autoSpaceDN w:val="0"/>
        <w:adjustRightInd w:val="0"/>
        <w:spacing w:after="120"/>
        <w:rPr>
          <w:rFonts w:ascii="Arial" w:hAnsi="Arial" w:cs="Arial"/>
          <w:color w:val="000000"/>
          <w:sz w:val="20"/>
        </w:rPr>
      </w:pPr>
      <w:r w:rsidRPr="00956DCD">
        <w:rPr>
          <w:rFonts w:ascii="Arial" w:hAnsi="Arial" w:cs="Arial"/>
          <w:color w:val="000000"/>
          <w:sz w:val="20"/>
        </w:rPr>
        <w:t>The number of proceedings</w:t>
      </w:r>
      <w:r w:rsidRPr="00956DCD">
        <w:rPr>
          <w:rStyle w:val="FootnoteReference"/>
          <w:rFonts w:ascii="Arial" w:hAnsi="Arial" w:cs="Arial"/>
          <w:color w:val="000000"/>
          <w:sz w:val="20"/>
        </w:rPr>
        <w:footnoteReference w:id="10"/>
      </w:r>
      <w:r w:rsidRPr="00956DCD">
        <w:rPr>
          <w:rFonts w:ascii="Arial" w:hAnsi="Arial" w:cs="Arial"/>
          <w:color w:val="000000"/>
          <w:sz w:val="20"/>
        </w:rPr>
        <w:t xml:space="preserve"> in which ORA participates. </w:t>
      </w:r>
    </w:p>
    <w:p w:rsidR="00315B52" w:rsidRPr="00956DCD" w:rsidRDefault="00315B52" w:rsidP="00267E21">
      <w:pPr>
        <w:pStyle w:val="ListParagraph0"/>
        <w:numPr>
          <w:ilvl w:val="0"/>
          <w:numId w:val="37"/>
        </w:numPr>
        <w:autoSpaceDE w:val="0"/>
        <w:autoSpaceDN w:val="0"/>
        <w:adjustRightInd w:val="0"/>
        <w:spacing w:after="120"/>
        <w:rPr>
          <w:rFonts w:ascii="Arial" w:hAnsi="Arial" w:cs="Arial"/>
          <w:color w:val="000000"/>
          <w:sz w:val="20"/>
        </w:rPr>
      </w:pPr>
      <w:r w:rsidRPr="00956DCD">
        <w:rPr>
          <w:rFonts w:ascii="Arial" w:hAnsi="Arial" w:cs="Arial"/>
          <w:color w:val="000000"/>
          <w:sz w:val="20"/>
        </w:rPr>
        <w:t>The number of pleadings</w:t>
      </w:r>
      <w:r w:rsidRPr="00956DCD">
        <w:rPr>
          <w:rStyle w:val="FootnoteReference"/>
          <w:rFonts w:ascii="Arial" w:hAnsi="Arial" w:cs="Arial"/>
          <w:color w:val="000000"/>
          <w:sz w:val="20"/>
        </w:rPr>
        <w:footnoteReference w:id="11"/>
      </w:r>
      <w:r w:rsidRPr="00956DCD">
        <w:rPr>
          <w:rFonts w:ascii="Arial" w:hAnsi="Arial" w:cs="Arial"/>
          <w:color w:val="000000"/>
          <w:sz w:val="20"/>
        </w:rPr>
        <w:t xml:space="preserve"> filed by ORA with the CPUC.</w:t>
      </w:r>
    </w:p>
    <w:p w:rsidR="00315B52" w:rsidRPr="00956DCD" w:rsidRDefault="00315B52" w:rsidP="00267E21">
      <w:pPr>
        <w:pStyle w:val="ListParagraph0"/>
        <w:numPr>
          <w:ilvl w:val="0"/>
          <w:numId w:val="37"/>
        </w:numPr>
        <w:autoSpaceDE w:val="0"/>
        <w:autoSpaceDN w:val="0"/>
        <w:adjustRightInd w:val="0"/>
        <w:spacing w:after="120"/>
        <w:rPr>
          <w:rFonts w:ascii="Arial" w:hAnsi="Arial" w:cs="Arial"/>
          <w:color w:val="000000"/>
          <w:sz w:val="20"/>
        </w:rPr>
      </w:pPr>
      <w:r w:rsidRPr="00956DCD">
        <w:rPr>
          <w:rFonts w:ascii="Arial" w:hAnsi="Arial" w:cs="Arial"/>
          <w:color w:val="000000"/>
          <w:sz w:val="20"/>
        </w:rPr>
        <w:t>The number of outreach and education contacts.</w:t>
      </w:r>
    </w:p>
    <w:p w:rsidR="00315B52" w:rsidRPr="008F27A1" w:rsidRDefault="00315B52" w:rsidP="00315B52">
      <w:pPr>
        <w:autoSpaceDE w:val="0"/>
        <w:autoSpaceDN w:val="0"/>
        <w:adjustRightInd w:val="0"/>
        <w:spacing w:line="312" w:lineRule="auto"/>
        <w:rPr>
          <w:rFonts w:ascii="Arial" w:hAnsi="Arial" w:cs="Arial"/>
          <w:color w:val="000000"/>
          <w:sz w:val="20"/>
          <w:szCs w:val="20"/>
        </w:rPr>
      </w:pPr>
    </w:p>
    <w:p w:rsidR="00315B52" w:rsidRPr="000E6ABA" w:rsidRDefault="00267E21" w:rsidP="00315B52">
      <w:pPr>
        <w:autoSpaceDE w:val="0"/>
        <w:autoSpaceDN w:val="0"/>
        <w:adjustRightInd w:val="0"/>
        <w:spacing w:after="120" w:line="288" w:lineRule="auto"/>
        <w:rPr>
          <w:rFonts w:ascii="Arial Black" w:hAnsi="Arial Black" w:cs="Arial"/>
          <w:sz w:val="20"/>
          <w:szCs w:val="20"/>
        </w:rPr>
      </w:pPr>
      <w:r w:rsidRPr="000E6ABA">
        <w:rPr>
          <w:rFonts w:ascii="Arial Black" w:hAnsi="Arial Black" w:cs="Arial"/>
          <w:b/>
          <w:bCs/>
          <w:noProof/>
          <w:szCs w:val="20"/>
        </w:rPr>
        <mc:AlternateContent>
          <mc:Choice Requires="wps">
            <w:drawing>
              <wp:anchor distT="0" distB="0" distL="114300" distR="114300" simplePos="0" relativeHeight="251736576" behindDoc="0" locked="0" layoutInCell="1" allowOverlap="1" wp14:anchorId="2902F676" wp14:editId="71B5E0A2">
                <wp:simplePos x="0" y="0"/>
                <wp:positionH relativeFrom="column">
                  <wp:posOffset>11430</wp:posOffset>
                </wp:positionH>
                <wp:positionV relativeFrom="paragraph">
                  <wp:posOffset>224486</wp:posOffset>
                </wp:positionV>
                <wp:extent cx="48387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48387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9pt,17.7pt" to="381.9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" strokecolor="black [3213]" strokeweight="1.5pt"/>
            </w:pict>
          </mc:Fallback>
        </mc:AlternateContent>
      </w:r>
      <w:r w:rsidR="00315B52" w:rsidRPr="000E6ABA">
        <w:rPr>
          <w:rFonts w:ascii="Arial Black" w:hAnsi="Arial Black" w:cs="Arial"/>
          <w:b/>
          <w:bCs/>
          <w:szCs w:val="20"/>
        </w:rPr>
        <w:t>ORA’s Proceeding Work</w:t>
      </w:r>
    </w:p>
    <w:p w:rsidR="00315B52" w:rsidRPr="008F27A1" w:rsidRDefault="00315B52" w:rsidP="00315B52">
      <w:pPr>
        <w:autoSpaceDE w:val="0"/>
        <w:autoSpaceDN w:val="0"/>
        <w:adjustRightInd w:val="0"/>
        <w:spacing w:line="288" w:lineRule="auto"/>
        <w:jc w:val="both"/>
        <w:rPr>
          <w:rFonts w:ascii="Arial" w:hAnsi="Arial" w:cs="Arial"/>
          <w:sz w:val="20"/>
          <w:szCs w:val="20"/>
        </w:rPr>
      </w:pPr>
      <w:r w:rsidRPr="008F27A1">
        <w:rPr>
          <w:rFonts w:ascii="Arial" w:hAnsi="Arial" w:cs="Arial"/>
          <w:sz w:val="20"/>
          <w:szCs w:val="20"/>
        </w:rPr>
        <w:t>In 201</w:t>
      </w:r>
      <w:r w:rsidR="000E6ABA">
        <w:rPr>
          <w:rFonts w:ascii="Arial" w:hAnsi="Arial" w:cs="Arial"/>
          <w:sz w:val="20"/>
          <w:szCs w:val="20"/>
        </w:rPr>
        <w:t>5</w:t>
      </w:r>
      <w:r w:rsidR="00C17908">
        <w:rPr>
          <w:rFonts w:ascii="Arial" w:hAnsi="Arial" w:cs="Arial"/>
          <w:sz w:val="20"/>
          <w:szCs w:val="20"/>
        </w:rPr>
        <w:t>, ORA participated in 192</w:t>
      </w:r>
      <w:r w:rsidRPr="008F27A1">
        <w:rPr>
          <w:rFonts w:ascii="Arial" w:hAnsi="Arial" w:cs="Arial"/>
          <w:sz w:val="20"/>
          <w:szCs w:val="20"/>
        </w:rPr>
        <w:t xml:space="preserve"> formal CPUC proceedings. These numbers do not reflect the greater complexity of the issues being addressed by ORA in omnibus proceedings addressing greenhouse gas emissions, renewable resource development, procurement and transmission working groups, water conservation, and other major initiatives. ORA is often the only voice representing </w:t>
      </w:r>
      <w:r w:rsidR="00743B65">
        <w:rPr>
          <w:rFonts w:ascii="Arial" w:hAnsi="Arial" w:cs="Arial"/>
          <w:sz w:val="20"/>
          <w:szCs w:val="20"/>
        </w:rPr>
        <w:t>customers</w:t>
      </w:r>
      <w:r w:rsidR="008C6668">
        <w:rPr>
          <w:rFonts w:ascii="Arial" w:hAnsi="Arial" w:cs="Arial"/>
          <w:sz w:val="20"/>
          <w:szCs w:val="20"/>
        </w:rPr>
        <w:t>’</w:t>
      </w:r>
      <w:r w:rsidR="00743B65">
        <w:rPr>
          <w:rFonts w:ascii="Arial" w:hAnsi="Arial" w:cs="Arial"/>
          <w:sz w:val="20"/>
          <w:szCs w:val="20"/>
        </w:rPr>
        <w:t xml:space="preserve"> </w:t>
      </w:r>
      <w:r w:rsidRPr="008F27A1">
        <w:rPr>
          <w:rFonts w:ascii="Arial" w:hAnsi="Arial" w:cs="Arial"/>
          <w:sz w:val="20"/>
          <w:szCs w:val="20"/>
        </w:rPr>
        <w:t xml:space="preserve">interests in a number of these proceedings. Since the CPUC relies on a formal evidentiary record in rendering its decisions, ORA’s participation is essential to ensure that the CPUC has a record that reflects the interests of California’s customers. </w:t>
      </w:r>
    </w:p>
    <w:p w:rsidR="00315B52" w:rsidRPr="008F27A1" w:rsidRDefault="00315B52" w:rsidP="00315B52">
      <w:pPr>
        <w:autoSpaceDE w:val="0"/>
        <w:autoSpaceDN w:val="0"/>
        <w:adjustRightInd w:val="0"/>
        <w:spacing w:line="288" w:lineRule="auto"/>
        <w:jc w:val="center"/>
        <w:rPr>
          <w:rFonts w:ascii="Arial" w:hAnsi="Arial" w:cs="Arial"/>
          <w:b/>
          <w:bCs/>
          <w:color w:val="000000"/>
          <w:sz w:val="20"/>
          <w:szCs w:val="20"/>
        </w:rPr>
      </w:pPr>
    </w:p>
    <w:p w:rsidR="00315B52" w:rsidRPr="008F27A1" w:rsidRDefault="00315B52" w:rsidP="00315B52">
      <w:pPr>
        <w:autoSpaceDE w:val="0"/>
        <w:autoSpaceDN w:val="0"/>
        <w:adjustRightInd w:val="0"/>
        <w:spacing w:line="288" w:lineRule="auto"/>
        <w:jc w:val="both"/>
        <w:rPr>
          <w:rFonts w:ascii="Arial" w:hAnsi="Arial" w:cs="Arial"/>
          <w:sz w:val="20"/>
          <w:szCs w:val="20"/>
        </w:rPr>
      </w:pPr>
      <w:r w:rsidRPr="008F27A1">
        <w:rPr>
          <w:rFonts w:ascii="Arial" w:hAnsi="Arial" w:cs="Arial"/>
          <w:sz w:val="20"/>
          <w:szCs w:val="20"/>
        </w:rPr>
        <w:t>The following charts represent the total number of formal CPUC proceedings in which ORA participated in 201</w:t>
      </w:r>
      <w:r>
        <w:rPr>
          <w:rFonts w:ascii="Arial" w:hAnsi="Arial" w:cs="Arial"/>
          <w:sz w:val="20"/>
          <w:szCs w:val="20"/>
        </w:rPr>
        <w:t>5</w:t>
      </w:r>
      <w:r w:rsidRPr="008F27A1">
        <w:rPr>
          <w:rFonts w:ascii="Arial" w:hAnsi="Arial" w:cs="Arial"/>
          <w:sz w:val="20"/>
          <w:szCs w:val="20"/>
        </w:rPr>
        <w:t xml:space="preserve"> in comparison to 201</w:t>
      </w:r>
      <w:r>
        <w:rPr>
          <w:rFonts w:ascii="Arial" w:hAnsi="Arial" w:cs="Arial"/>
          <w:sz w:val="20"/>
          <w:szCs w:val="20"/>
        </w:rPr>
        <w:t>4</w:t>
      </w:r>
      <w:r w:rsidRPr="008F27A1">
        <w:rPr>
          <w:rFonts w:ascii="Arial" w:hAnsi="Arial" w:cs="Arial"/>
          <w:sz w:val="20"/>
          <w:szCs w:val="20"/>
        </w:rPr>
        <w:t>, as well as broken out by industry group.</w:t>
      </w:r>
    </w:p>
    <w:p w:rsidR="00315B52" w:rsidRPr="008F27A1" w:rsidRDefault="00315B52" w:rsidP="00315B52">
      <w:pPr>
        <w:autoSpaceDE w:val="0"/>
        <w:autoSpaceDN w:val="0"/>
        <w:adjustRightInd w:val="0"/>
        <w:spacing w:line="288" w:lineRule="auto"/>
        <w:rPr>
          <w:rFonts w:ascii="Arial" w:hAnsi="Arial" w:cs="Arial"/>
          <w:b/>
          <w:bCs/>
          <w:color w:val="365F91"/>
          <w:sz w:val="20"/>
          <w:szCs w:val="20"/>
        </w:rPr>
      </w:pPr>
    </w:p>
    <w:p w:rsidR="00E93BCC" w:rsidRPr="003057FC" w:rsidRDefault="00315B52" w:rsidP="003057FC">
      <w:pPr>
        <w:autoSpaceDE w:val="0"/>
        <w:autoSpaceDN w:val="0"/>
        <w:adjustRightInd w:val="0"/>
        <w:spacing w:line="288" w:lineRule="auto"/>
        <w:rPr>
          <w:rFonts w:ascii="Arial Black" w:hAnsi="Arial Black" w:cs="Arial"/>
          <w:b/>
          <w:bCs/>
          <w:color w:val="4F81BD" w:themeColor="accent1"/>
          <w:sz w:val="20"/>
          <w:szCs w:val="20"/>
        </w:rPr>
      </w:pPr>
      <w:r w:rsidRPr="000E6ABA">
        <w:rPr>
          <w:rFonts w:ascii="Arial Black" w:hAnsi="Arial Black" w:cs="Arial"/>
          <w:b/>
          <w:bCs/>
          <w:color w:val="4F81BD" w:themeColor="accent1"/>
          <w:sz w:val="20"/>
          <w:szCs w:val="20"/>
        </w:rPr>
        <w:t>The number of Proceedings that ORA worked on in 2015 = 192</w:t>
      </w:r>
    </w:p>
    <w:p w:rsidR="00315B52" w:rsidRDefault="00315B52" w:rsidP="00030CD6">
      <w:pPr>
        <w:autoSpaceDE w:val="0"/>
        <w:autoSpaceDN w:val="0"/>
        <w:adjustRightInd w:val="0"/>
        <w:spacing w:before="240" w:after="120"/>
        <w:jc w:val="center"/>
        <w:rPr>
          <w:rFonts w:ascii="Arial" w:hAnsi="Arial" w:cs="Arial"/>
          <w:b/>
          <w:bCs/>
          <w:color w:val="000000"/>
          <w:sz w:val="20"/>
          <w:szCs w:val="20"/>
        </w:rPr>
      </w:pPr>
      <w:r w:rsidRPr="008F27A1">
        <w:rPr>
          <w:rFonts w:ascii="Arial" w:hAnsi="Arial" w:cs="Arial"/>
          <w:b/>
          <w:bCs/>
          <w:color w:val="000000"/>
          <w:sz w:val="20"/>
          <w:szCs w:val="20"/>
        </w:rPr>
        <w:t>Number of ORA Proceeding Work:  201</w:t>
      </w:r>
      <w:r>
        <w:rPr>
          <w:rFonts w:ascii="Arial" w:hAnsi="Arial" w:cs="Arial"/>
          <w:b/>
          <w:bCs/>
          <w:color w:val="000000"/>
          <w:sz w:val="20"/>
          <w:szCs w:val="20"/>
        </w:rPr>
        <w:t>4 vs. 2015</w:t>
      </w:r>
      <w:r>
        <w:rPr>
          <w:noProof/>
        </w:rPr>
        <w:drawing>
          <wp:inline distT="0" distB="0" distL="0" distR="0" wp14:anchorId="6977A9E6" wp14:editId="2EBDD0EB">
            <wp:extent cx="4405022" cy="2711394"/>
            <wp:effectExtent l="0" t="0" r="14605" b="1333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A2D6B" w:rsidRDefault="002A2D6B" w:rsidP="00315B52">
      <w:pPr>
        <w:autoSpaceDE w:val="0"/>
        <w:autoSpaceDN w:val="0"/>
        <w:adjustRightInd w:val="0"/>
        <w:jc w:val="center"/>
        <w:rPr>
          <w:rFonts w:ascii="Arial" w:hAnsi="Arial" w:cs="Arial"/>
          <w:b/>
          <w:bCs/>
          <w:color w:val="000000"/>
          <w:sz w:val="20"/>
          <w:szCs w:val="20"/>
        </w:rPr>
      </w:pPr>
    </w:p>
    <w:p w:rsidR="007A18A7" w:rsidRDefault="007A18A7" w:rsidP="00315B52">
      <w:pPr>
        <w:autoSpaceDE w:val="0"/>
        <w:autoSpaceDN w:val="0"/>
        <w:adjustRightInd w:val="0"/>
        <w:jc w:val="center"/>
        <w:rPr>
          <w:rFonts w:ascii="Arial" w:hAnsi="Arial" w:cs="Arial"/>
          <w:b/>
          <w:bCs/>
          <w:color w:val="000000"/>
          <w:sz w:val="20"/>
          <w:szCs w:val="20"/>
        </w:rPr>
      </w:pPr>
    </w:p>
    <w:p w:rsidR="00315B52" w:rsidRPr="008F27A1" w:rsidRDefault="00315B52" w:rsidP="007A18A7">
      <w:pPr>
        <w:autoSpaceDE w:val="0"/>
        <w:autoSpaceDN w:val="0"/>
        <w:adjustRightInd w:val="0"/>
        <w:spacing w:after="60"/>
        <w:jc w:val="center"/>
        <w:rPr>
          <w:rFonts w:ascii="Arial" w:hAnsi="Arial" w:cs="Arial"/>
          <w:b/>
          <w:bCs/>
          <w:color w:val="000000"/>
          <w:sz w:val="20"/>
          <w:szCs w:val="20"/>
        </w:rPr>
      </w:pPr>
      <w:r w:rsidRPr="008F27A1">
        <w:rPr>
          <w:rFonts w:ascii="Arial" w:hAnsi="Arial" w:cs="Arial"/>
          <w:b/>
          <w:bCs/>
          <w:color w:val="000000"/>
          <w:sz w:val="20"/>
          <w:szCs w:val="20"/>
        </w:rPr>
        <w:t>Number of 201</w:t>
      </w:r>
      <w:r>
        <w:rPr>
          <w:rFonts w:ascii="Arial" w:hAnsi="Arial" w:cs="Arial"/>
          <w:b/>
          <w:bCs/>
          <w:color w:val="000000"/>
          <w:sz w:val="20"/>
          <w:szCs w:val="20"/>
        </w:rPr>
        <w:t>5</w:t>
      </w:r>
      <w:r w:rsidRPr="008F27A1">
        <w:rPr>
          <w:rFonts w:ascii="Arial" w:hAnsi="Arial" w:cs="Arial"/>
          <w:b/>
          <w:bCs/>
          <w:color w:val="000000"/>
          <w:sz w:val="20"/>
          <w:szCs w:val="20"/>
        </w:rPr>
        <w:t xml:space="preserve"> ORA Proceeding Work by Industry</w:t>
      </w:r>
    </w:p>
    <w:p w:rsidR="00315B52" w:rsidRPr="008F27A1" w:rsidRDefault="00315B52" w:rsidP="00315B52">
      <w:pPr>
        <w:jc w:val="center"/>
        <w:rPr>
          <w:rFonts w:ascii="Arial" w:hAnsi="Arial" w:cs="Arial"/>
          <w:sz w:val="20"/>
          <w:szCs w:val="20"/>
        </w:rPr>
      </w:pPr>
      <w:r>
        <w:rPr>
          <w:noProof/>
        </w:rPr>
        <w:drawing>
          <wp:inline distT="0" distB="0" distL="0" distR="0" wp14:anchorId="4304A495" wp14:editId="242AC079">
            <wp:extent cx="5931673" cy="3061253"/>
            <wp:effectExtent l="0" t="0" r="12065" b="25400"/>
            <wp:docPr id="5176" name="Chart 5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15B52" w:rsidRDefault="00315B52" w:rsidP="00315B52">
      <w:pPr>
        <w:rPr>
          <w:rFonts w:ascii="Arial" w:hAnsi="Arial" w:cs="Arial"/>
          <w:sz w:val="20"/>
          <w:szCs w:val="20"/>
        </w:rPr>
      </w:pPr>
    </w:p>
    <w:p w:rsidR="00315B52" w:rsidRDefault="00315B52" w:rsidP="00315B52">
      <w:pPr>
        <w:rPr>
          <w:rFonts w:ascii="Arial" w:hAnsi="Arial" w:cs="Arial"/>
          <w:sz w:val="20"/>
          <w:szCs w:val="20"/>
        </w:rPr>
      </w:pPr>
    </w:p>
    <w:p w:rsidR="00315B52" w:rsidRPr="000E6ABA" w:rsidRDefault="00315B52" w:rsidP="00315B52">
      <w:pPr>
        <w:rPr>
          <w:rFonts w:ascii="Arial Black" w:hAnsi="Arial Black" w:cs="Arial"/>
          <w:b/>
        </w:rPr>
      </w:pPr>
      <w:r w:rsidRPr="000E6ABA">
        <w:rPr>
          <w:rFonts w:ascii="Arial Black" w:hAnsi="Arial Black" w:cs="Arial"/>
          <w:b/>
          <w:bCs/>
          <w:noProof/>
        </w:rPr>
        <mc:AlternateContent>
          <mc:Choice Requires="wps">
            <w:drawing>
              <wp:anchor distT="0" distB="0" distL="114300" distR="114300" simplePos="0" relativeHeight="251737600" behindDoc="0" locked="0" layoutInCell="1" allowOverlap="1" wp14:anchorId="17269B5B" wp14:editId="3F22AAC8">
                <wp:simplePos x="0" y="0"/>
                <wp:positionH relativeFrom="column">
                  <wp:posOffset>-13335</wp:posOffset>
                </wp:positionH>
                <wp:positionV relativeFrom="paragraph">
                  <wp:posOffset>236220</wp:posOffset>
                </wp:positionV>
                <wp:extent cx="483870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48387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1.05pt,18.6pt" to="379.9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" strokecolor="black [3213]" strokeweight="1.5pt"/>
            </w:pict>
          </mc:Fallback>
        </mc:AlternateContent>
      </w:r>
      <w:r w:rsidRPr="000E6ABA">
        <w:rPr>
          <w:rFonts w:ascii="Arial Black" w:hAnsi="Arial Black" w:cs="Arial"/>
          <w:b/>
        </w:rPr>
        <w:t xml:space="preserve">ORA’s Pleading Work </w:t>
      </w:r>
    </w:p>
    <w:p w:rsidR="00315B52" w:rsidRPr="008F27A1" w:rsidRDefault="00315B52" w:rsidP="00315B52">
      <w:pPr>
        <w:autoSpaceDE w:val="0"/>
        <w:autoSpaceDN w:val="0"/>
        <w:adjustRightInd w:val="0"/>
        <w:spacing w:line="288" w:lineRule="auto"/>
        <w:jc w:val="both"/>
        <w:rPr>
          <w:rFonts w:ascii="Arial" w:hAnsi="Arial" w:cs="Arial"/>
          <w:sz w:val="20"/>
          <w:szCs w:val="20"/>
        </w:rPr>
      </w:pPr>
    </w:p>
    <w:p w:rsidR="00315B52" w:rsidRPr="008F27A1" w:rsidRDefault="00315B52" w:rsidP="00315B52">
      <w:pPr>
        <w:autoSpaceDE w:val="0"/>
        <w:autoSpaceDN w:val="0"/>
        <w:adjustRightInd w:val="0"/>
        <w:spacing w:line="288" w:lineRule="auto"/>
        <w:jc w:val="both"/>
        <w:rPr>
          <w:rFonts w:ascii="Arial" w:hAnsi="Arial" w:cs="Arial"/>
          <w:b/>
          <w:bCs/>
          <w:sz w:val="20"/>
          <w:szCs w:val="20"/>
        </w:rPr>
      </w:pPr>
      <w:r w:rsidRPr="008F27A1">
        <w:rPr>
          <w:rFonts w:ascii="Arial" w:hAnsi="Arial" w:cs="Arial"/>
          <w:sz w:val="20"/>
          <w:szCs w:val="20"/>
        </w:rPr>
        <w:t>ORA staff and attorneys file hundreds of pleadings annually on behalf of customers</w:t>
      </w:r>
      <w:r w:rsidR="00C17908">
        <w:rPr>
          <w:rFonts w:ascii="Arial" w:hAnsi="Arial" w:cs="Arial"/>
          <w:sz w:val="20"/>
          <w:szCs w:val="20"/>
        </w:rPr>
        <w:t>,</w:t>
      </w:r>
      <w:r w:rsidRPr="008F27A1">
        <w:rPr>
          <w:rFonts w:ascii="Arial" w:hAnsi="Arial" w:cs="Arial"/>
          <w:sz w:val="20"/>
          <w:szCs w:val="20"/>
        </w:rPr>
        <w:t xml:space="preserve"> covering issues related to electricity, natural gas, water, and communications. In 201</w:t>
      </w:r>
      <w:r>
        <w:rPr>
          <w:rFonts w:ascii="Arial" w:hAnsi="Arial" w:cs="Arial"/>
          <w:sz w:val="20"/>
          <w:szCs w:val="20"/>
        </w:rPr>
        <w:t>5</w:t>
      </w:r>
      <w:r w:rsidRPr="008F27A1">
        <w:rPr>
          <w:rFonts w:ascii="Arial" w:hAnsi="Arial" w:cs="Arial"/>
          <w:sz w:val="20"/>
          <w:szCs w:val="20"/>
        </w:rPr>
        <w:t xml:space="preserve">, ORA filed </w:t>
      </w:r>
      <w:r>
        <w:rPr>
          <w:rFonts w:ascii="Arial" w:hAnsi="Arial" w:cs="Arial"/>
          <w:sz w:val="20"/>
          <w:szCs w:val="20"/>
        </w:rPr>
        <w:t>605</w:t>
      </w:r>
      <w:r w:rsidRPr="008F27A1">
        <w:rPr>
          <w:rFonts w:ascii="Arial" w:hAnsi="Arial" w:cs="Arial"/>
          <w:sz w:val="20"/>
          <w:szCs w:val="20"/>
        </w:rPr>
        <w:t xml:space="preserve"> pleadings in formal CPUC proceedings</w:t>
      </w:r>
      <w:r>
        <w:rPr>
          <w:rFonts w:ascii="Arial" w:hAnsi="Arial" w:cs="Arial"/>
          <w:bCs/>
          <w:color w:val="000000"/>
          <w:sz w:val="20"/>
          <w:szCs w:val="20"/>
        </w:rPr>
        <w:t xml:space="preserve">. </w:t>
      </w:r>
      <w:r w:rsidRPr="008F27A1">
        <w:rPr>
          <w:rFonts w:ascii="Arial" w:hAnsi="Arial" w:cs="Arial"/>
          <w:bCs/>
          <w:color w:val="000000"/>
          <w:sz w:val="20"/>
          <w:szCs w:val="20"/>
        </w:rPr>
        <w:t>The following charts represent the comparison of the number of pleadings ORA filed in 201</w:t>
      </w:r>
      <w:r>
        <w:rPr>
          <w:rFonts w:ascii="Arial" w:hAnsi="Arial" w:cs="Arial"/>
          <w:bCs/>
          <w:color w:val="000000"/>
          <w:sz w:val="20"/>
          <w:szCs w:val="20"/>
        </w:rPr>
        <w:t>5</w:t>
      </w:r>
      <w:r w:rsidRPr="008F27A1">
        <w:rPr>
          <w:rFonts w:ascii="Arial" w:hAnsi="Arial" w:cs="Arial"/>
          <w:bCs/>
          <w:color w:val="000000"/>
          <w:sz w:val="20"/>
          <w:szCs w:val="20"/>
        </w:rPr>
        <w:t xml:space="preserve"> in comparison to 201</w:t>
      </w:r>
      <w:r w:rsidR="000D74D1">
        <w:rPr>
          <w:rFonts w:ascii="Arial" w:hAnsi="Arial" w:cs="Arial"/>
          <w:bCs/>
          <w:color w:val="000000"/>
          <w:sz w:val="20"/>
          <w:szCs w:val="20"/>
        </w:rPr>
        <w:t>4</w:t>
      </w:r>
      <w:r w:rsidRPr="008F27A1">
        <w:rPr>
          <w:rFonts w:ascii="Arial" w:hAnsi="Arial" w:cs="Arial"/>
          <w:bCs/>
          <w:color w:val="000000"/>
          <w:sz w:val="20"/>
          <w:szCs w:val="20"/>
        </w:rPr>
        <w:t>, as well as broken out by industry group, respectively.</w:t>
      </w:r>
    </w:p>
    <w:p w:rsidR="00E93BCC" w:rsidRDefault="00E93BCC" w:rsidP="00315B52">
      <w:pPr>
        <w:autoSpaceDE w:val="0"/>
        <w:autoSpaceDN w:val="0"/>
        <w:adjustRightInd w:val="0"/>
        <w:spacing w:line="288" w:lineRule="auto"/>
        <w:jc w:val="both"/>
        <w:rPr>
          <w:rFonts w:ascii="Arial Black" w:hAnsi="Arial Black" w:cs="Arial"/>
          <w:b/>
          <w:bCs/>
          <w:color w:val="4F81BD" w:themeColor="accent1"/>
          <w:sz w:val="20"/>
          <w:szCs w:val="20"/>
        </w:rPr>
      </w:pPr>
    </w:p>
    <w:p w:rsidR="00315B52" w:rsidRPr="000E6ABA" w:rsidRDefault="00315B52" w:rsidP="00315B52">
      <w:pPr>
        <w:autoSpaceDE w:val="0"/>
        <w:autoSpaceDN w:val="0"/>
        <w:adjustRightInd w:val="0"/>
        <w:spacing w:line="288" w:lineRule="auto"/>
        <w:jc w:val="both"/>
        <w:rPr>
          <w:rFonts w:ascii="Arial Black" w:hAnsi="Arial Black" w:cs="Arial"/>
          <w:b/>
          <w:bCs/>
          <w:color w:val="000000"/>
          <w:sz w:val="20"/>
          <w:szCs w:val="20"/>
        </w:rPr>
      </w:pPr>
      <w:r w:rsidRPr="000E6ABA">
        <w:rPr>
          <w:rFonts w:ascii="Arial Black" w:hAnsi="Arial Black" w:cs="Arial"/>
          <w:b/>
          <w:bCs/>
          <w:color w:val="4F81BD" w:themeColor="accent1"/>
          <w:sz w:val="20"/>
          <w:szCs w:val="20"/>
        </w:rPr>
        <w:t>The number of Pleadings ORA filed in 2015 = 605</w:t>
      </w:r>
    </w:p>
    <w:p w:rsidR="00315B52" w:rsidRPr="008F27A1" w:rsidRDefault="00315B52" w:rsidP="008C6668">
      <w:pPr>
        <w:autoSpaceDE w:val="0"/>
        <w:autoSpaceDN w:val="0"/>
        <w:adjustRightInd w:val="0"/>
        <w:spacing w:before="240" w:after="120"/>
        <w:jc w:val="center"/>
        <w:rPr>
          <w:rFonts w:ascii="Arial" w:hAnsi="Arial" w:cs="Arial"/>
          <w:b/>
          <w:sz w:val="20"/>
          <w:szCs w:val="20"/>
        </w:rPr>
      </w:pPr>
      <w:r w:rsidRPr="002A2D6B">
        <w:rPr>
          <w:rFonts w:ascii="Arial" w:hAnsi="Arial" w:cs="Arial"/>
          <w:b/>
          <w:bCs/>
          <w:color w:val="000000"/>
          <w:sz w:val="20"/>
          <w:szCs w:val="20"/>
        </w:rPr>
        <w:t>Number of ORA Pleadings Filed:  2014 vs. 2015</w:t>
      </w:r>
      <w:r>
        <w:rPr>
          <w:noProof/>
        </w:rPr>
        <w:drawing>
          <wp:inline distT="0" distB="0" distL="0" distR="0" wp14:anchorId="2FFE8164" wp14:editId="51B69EC9">
            <wp:extent cx="4800600" cy="2847975"/>
            <wp:effectExtent l="0" t="0" r="1905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A2D6B" w:rsidRDefault="002A2D6B" w:rsidP="000E6ABA">
      <w:pPr>
        <w:spacing w:before="960" w:after="120"/>
        <w:jc w:val="center"/>
        <w:rPr>
          <w:rFonts w:ascii="Arial" w:hAnsi="Arial" w:cs="Arial"/>
          <w:b/>
          <w:sz w:val="20"/>
          <w:szCs w:val="20"/>
        </w:rPr>
      </w:pPr>
    </w:p>
    <w:p w:rsidR="00315B52" w:rsidRPr="008F27A1" w:rsidRDefault="000E6ABA" w:rsidP="00F50234">
      <w:pPr>
        <w:spacing w:before="240" w:after="120"/>
        <w:jc w:val="center"/>
        <w:rPr>
          <w:rFonts w:ascii="Arial" w:hAnsi="Arial" w:cs="Arial"/>
          <w:sz w:val="20"/>
          <w:szCs w:val="20"/>
        </w:rPr>
      </w:pPr>
      <w:r>
        <w:rPr>
          <w:rFonts w:ascii="Arial" w:hAnsi="Arial" w:cs="Arial"/>
          <w:b/>
          <w:sz w:val="20"/>
          <w:szCs w:val="20"/>
        </w:rPr>
        <w:t>Number of ORA Pleadings Filed in 2015 by Industry</w:t>
      </w:r>
      <w:r w:rsidR="00315B52">
        <w:rPr>
          <w:noProof/>
        </w:rPr>
        <w:drawing>
          <wp:inline distT="0" distB="0" distL="0" distR="0" wp14:anchorId="65F66D78" wp14:editId="39D27660">
            <wp:extent cx="5934075" cy="3048000"/>
            <wp:effectExtent l="0" t="0" r="9525"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15B52" w:rsidRPr="008F27A1" w:rsidRDefault="00315B52" w:rsidP="00315B52">
      <w:pPr>
        <w:autoSpaceDE w:val="0"/>
        <w:autoSpaceDN w:val="0"/>
        <w:adjustRightInd w:val="0"/>
        <w:ind w:left="720"/>
        <w:rPr>
          <w:rFonts w:ascii="Arial" w:hAnsi="Arial" w:cs="Arial"/>
          <w:sz w:val="20"/>
          <w:szCs w:val="20"/>
        </w:rPr>
      </w:pPr>
    </w:p>
    <w:p w:rsidR="000E6ABA" w:rsidRDefault="000E6ABA" w:rsidP="00315B52">
      <w:pPr>
        <w:autoSpaceDE w:val="0"/>
        <w:autoSpaceDN w:val="0"/>
        <w:adjustRightInd w:val="0"/>
        <w:spacing w:line="288" w:lineRule="auto"/>
        <w:jc w:val="both"/>
        <w:rPr>
          <w:rFonts w:ascii="Arial" w:hAnsi="Arial" w:cs="Arial"/>
          <w:sz w:val="20"/>
          <w:szCs w:val="20"/>
        </w:rPr>
      </w:pPr>
    </w:p>
    <w:p w:rsidR="000E6ABA" w:rsidRDefault="00315B52" w:rsidP="00315B52">
      <w:pPr>
        <w:autoSpaceDE w:val="0"/>
        <w:autoSpaceDN w:val="0"/>
        <w:adjustRightInd w:val="0"/>
        <w:spacing w:line="288" w:lineRule="auto"/>
        <w:jc w:val="both"/>
        <w:rPr>
          <w:rFonts w:ascii="Arial" w:hAnsi="Arial" w:cs="Arial"/>
          <w:sz w:val="20"/>
          <w:szCs w:val="20"/>
        </w:rPr>
      </w:pPr>
      <w:r w:rsidRPr="008F27A1">
        <w:rPr>
          <w:rFonts w:ascii="Arial" w:hAnsi="Arial" w:cs="Arial"/>
          <w:sz w:val="20"/>
          <w:szCs w:val="20"/>
        </w:rPr>
        <w:t xml:space="preserve">Additionally, ORA filed numerous responses to utility </w:t>
      </w:r>
      <w:r w:rsidRPr="00FB5792">
        <w:rPr>
          <w:rFonts w:ascii="Arial" w:hAnsi="Arial" w:cs="Arial"/>
          <w:sz w:val="20"/>
          <w:szCs w:val="20"/>
        </w:rPr>
        <w:t>advice letters</w:t>
      </w:r>
      <w:r w:rsidRPr="008F27A1">
        <w:rPr>
          <w:rFonts w:ascii="Arial" w:hAnsi="Arial" w:cs="Arial"/>
          <w:sz w:val="20"/>
          <w:szCs w:val="20"/>
        </w:rPr>
        <w:t xml:space="preserve"> in which the utilities often seek CPUC authority via a more informal process.</w:t>
      </w:r>
      <w:r w:rsidRPr="008F27A1">
        <w:rPr>
          <w:rStyle w:val="FootnoteReference"/>
          <w:rFonts w:ascii="Arial" w:hAnsi="Arial" w:cs="Arial"/>
          <w:sz w:val="20"/>
          <w:szCs w:val="20"/>
        </w:rPr>
        <w:footnoteReference w:id="12"/>
      </w:r>
      <w:r w:rsidRPr="008F27A1">
        <w:rPr>
          <w:rFonts w:ascii="Arial" w:hAnsi="Arial" w:cs="Arial"/>
          <w:sz w:val="20"/>
          <w:szCs w:val="20"/>
        </w:rPr>
        <w:t xml:space="preserve"> Beyond its participation in formal and informal CPUC proceedings, ORA is an active participant in proceedings at the California Energy Commission, the </w:t>
      </w:r>
      <w:r w:rsidR="00A72E01">
        <w:rPr>
          <w:rFonts w:ascii="Arial" w:hAnsi="Arial" w:cs="Arial"/>
          <w:sz w:val="20"/>
          <w:szCs w:val="20"/>
        </w:rPr>
        <w:t>Independent System Operator (</w:t>
      </w:r>
      <w:r w:rsidRPr="008F27A1">
        <w:rPr>
          <w:rFonts w:ascii="Arial" w:hAnsi="Arial" w:cs="Arial"/>
          <w:sz w:val="20"/>
          <w:szCs w:val="20"/>
        </w:rPr>
        <w:t>ISO), and the California Air Resources Board</w:t>
      </w:r>
      <w:r w:rsidR="00A72E01">
        <w:rPr>
          <w:rFonts w:ascii="Arial" w:hAnsi="Arial" w:cs="Arial"/>
          <w:sz w:val="20"/>
          <w:szCs w:val="20"/>
        </w:rPr>
        <w:t xml:space="preserve"> (CARB)</w:t>
      </w:r>
      <w:r w:rsidRPr="008F27A1">
        <w:rPr>
          <w:rFonts w:ascii="Arial" w:hAnsi="Arial" w:cs="Arial"/>
          <w:sz w:val="20"/>
          <w:szCs w:val="20"/>
        </w:rPr>
        <w:t>, where policy-making will impact ratepayers. ORA also provides consumer representation in other forums related to the CPUC’s proceedings such as meetings to review utility procurement decisions, the Low-Inc</w:t>
      </w:r>
      <w:r w:rsidR="0032682F">
        <w:rPr>
          <w:rFonts w:ascii="Arial" w:hAnsi="Arial" w:cs="Arial"/>
          <w:sz w:val="20"/>
          <w:szCs w:val="20"/>
        </w:rPr>
        <w:t xml:space="preserve">ome Oversight Board (LIOB), </w:t>
      </w:r>
      <w:r w:rsidRPr="008F27A1">
        <w:rPr>
          <w:rFonts w:ascii="Arial" w:hAnsi="Arial" w:cs="Arial"/>
          <w:sz w:val="20"/>
          <w:szCs w:val="20"/>
        </w:rPr>
        <w:t>communications public policy committees, industry committees of the National Association of State Utility Consumer Advocates (NASUCA), and the Pacific Forest and Watershed Stewardship Council.</w:t>
      </w:r>
    </w:p>
    <w:p w:rsidR="000E6ABA" w:rsidRPr="00F50234" w:rsidRDefault="000E6ABA" w:rsidP="00315B52">
      <w:pPr>
        <w:autoSpaceDE w:val="0"/>
        <w:autoSpaceDN w:val="0"/>
        <w:adjustRightInd w:val="0"/>
        <w:spacing w:line="288" w:lineRule="auto"/>
        <w:jc w:val="both"/>
        <w:rPr>
          <w:rFonts w:ascii="Arial" w:hAnsi="Arial" w:cs="Arial"/>
          <w:b/>
          <w:bCs/>
          <w:sz w:val="20"/>
          <w:szCs w:val="20"/>
        </w:rPr>
      </w:pPr>
    </w:p>
    <w:p w:rsidR="000E6ABA" w:rsidRPr="00F50234" w:rsidRDefault="000E6ABA" w:rsidP="00315B52">
      <w:pPr>
        <w:autoSpaceDE w:val="0"/>
        <w:autoSpaceDN w:val="0"/>
        <w:adjustRightInd w:val="0"/>
        <w:spacing w:line="288" w:lineRule="auto"/>
        <w:jc w:val="both"/>
        <w:rPr>
          <w:rFonts w:ascii="Arial" w:hAnsi="Arial" w:cs="Arial"/>
          <w:b/>
          <w:bCs/>
          <w:sz w:val="20"/>
          <w:szCs w:val="20"/>
        </w:rPr>
      </w:pPr>
    </w:p>
    <w:p w:rsidR="00315B52" w:rsidRPr="000E6ABA" w:rsidRDefault="000E6ABA" w:rsidP="00315B52">
      <w:pPr>
        <w:autoSpaceDE w:val="0"/>
        <w:autoSpaceDN w:val="0"/>
        <w:adjustRightInd w:val="0"/>
        <w:spacing w:line="288" w:lineRule="auto"/>
        <w:jc w:val="both"/>
        <w:rPr>
          <w:rFonts w:ascii="Arial Black" w:hAnsi="Arial Black" w:cs="Arial"/>
          <w:b/>
          <w:szCs w:val="20"/>
        </w:rPr>
      </w:pPr>
      <w:r w:rsidRPr="000E6ABA">
        <w:rPr>
          <w:rFonts w:ascii="Arial Black" w:hAnsi="Arial Black" w:cs="Arial"/>
          <w:b/>
          <w:bCs/>
          <w:noProof/>
        </w:rPr>
        <mc:AlternateContent>
          <mc:Choice Requires="wps">
            <w:drawing>
              <wp:anchor distT="0" distB="0" distL="114300" distR="114300" simplePos="0" relativeHeight="251741696" behindDoc="0" locked="0" layoutInCell="1" allowOverlap="1" wp14:anchorId="5A141C49" wp14:editId="508E0D70">
                <wp:simplePos x="0" y="0"/>
                <wp:positionH relativeFrom="column">
                  <wp:posOffset>3810</wp:posOffset>
                </wp:positionH>
                <wp:positionV relativeFrom="paragraph">
                  <wp:posOffset>251791</wp:posOffset>
                </wp:positionV>
                <wp:extent cx="4838700" cy="0"/>
                <wp:effectExtent l="0" t="0" r="19050" b="19050"/>
                <wp:wrapNone/>
                <wp:docPr id="5178" name="Straight Connector 5178"/>
                <wp:cNvGraphicFramePr/>
                <a:graphic xmlns:a="http://schemas.openxmlformats.org/drawingml/2006/main">
                  <a:graphicData uri="http://schemas.microsoft.com/office/word/2010/wordprocessingShape">
                    <wps:wsp>
                      <wps:cNvCnPr/>
                      <wps:spPr>
                        <a:xfrm>
                          <a:off x="0" y="0"/>
                          <a:ext cx="48387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78" o:spid="_x0000_s1026" style="position:absolute;z-index:251741696;visibility:visible;mso-wrap-style:square;mso-wrap-distance-left:9pt;mso-wrap-distance-top:0;mso-wrap-distance-right:9pt;mso-wrap-distance-bottom:0;mso-position-horizontal:absolute;mso-position-horizontal-relative:text;mso-position-vertical:absolute;mso-position-vertical-relative:text" from=".3pt,19.85pt" to="381.3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" strokecolor="black [3213]" strokeweight="1.5pt"/>
            </w:pict>
          </mc:Fallback>
        </mc:AlternateContent>
      </w:r>
      <w:r w:rsidR="00315B52" w:rsidRPr="000E6ABA">
        <w:rPr>
          <w:rFonts w:ascii="Arial Black" w:hAnsi="Arial Black" w:cs="Arial"/>
          <w:b/>
          <w:bCs/>
          <w:szCs w:val="20"/>
        </w:rPr>
        <w:t>ORA Outreach and Education</w:t>
      </w:r>
    </w:p>
    <w:p w:rsidR="00315B52" w:rsidRDefault="00315B52" w:rsidP="00315B52">
      <w:pPr>
        <w:autoSpaceDE w:val="0"/>
        <w:autoSpaceDN w:val="0"/>
        <w:adjustRightInd w:val="0"/>
        <w:spacing w:line="288" w:lineRule="auto"/>
        <w:jc w:val="both"/>
        <w:rPr>
          <w:rFonts w:ascii="Arial" w:hAnsi="Arial" w:cs="Arial"/>
          <w:color w:val="000000"/>
          <w:sz w:val="20"/>
          <w:szCs w:val="20"/>
        </w:rPr>
      </w:pPr>
    </w:p>
    <w:p w:rsidR="003057FC" w:rsidRDefault="00315B52" w:rsidP="00BB2729">
      <w:pPr>
        <w:autoSpaceDE w:val="0"/>
        <w:autoSpaceDN w:val="0"/>
        <w:adjustRightInd w:val="0"/>
        <w:spacing w:line="288" w:lineRule="auto"/>
        <w:jc w:val="both"/>
        <w:rPr>
          <w:rFonts w:ascii="Arial" w:hAnsi="Arial" w:cs="Arial"/>
          <w:b/>
          <w:color w:val="4F81BD" w:themeColor="accent1"/>
          <w:sz w:val="20"/>
          <w:szCs w:val="20"/>
        </w:rPr>
      </w:pPr>
      <w:r w:rsidRPr="008F27A1">
        <w:rPr>
          <w:rFonts w:ascii="Arial" w:hAnsi="Arial" w:cs="Arial"/>
          <w:color w:val="000000"/>
          <w:sz w:val="20"/>
          <w:szCs w:val="20"/>
        </w:rPr>
        <w:t xml:space="preserve">ORA has also developed measures to improve the quality of its work product and increase the effectiveness of its advocacy efforts. In this regard, ORA also measures its CPUC </w:t>
      </w:r>
      <w:r w:rsidR="00EA403C">
        <w:rPr>
          <w:rFonts w:ascii="Arial" w:hAnsi="Arial" w:cs="Arial"/>
          <w:color w:val="000000"/>
          <w:sz w:val="20"/>
          <w:szCs w:val="20"/>
        </w:rPr>
        <w:t>outreach</w:t>
      </w:r>
      <w:r w:rsidRPr="008F27A1">
        <w:rPr>
          <w:rFonts w:ascii="Arial" w:hAnsi="Arial" w:cs="Arial"/>
          <w:color w:val="000000"/>
          <w:sz w:val="20"/>
          <w:szCs w:val="20"/>
        </w:rPr>
        <w:t xml:space="preserve"> efforts by tracking the number of contacts it has with commissioners and their advisors in connection with CPUC proceedings.</w:t>
      </w:r>
      <w:r w:rsidR="00EA403C">
        <w:rPr>
          <w:rFonts w:ascii="Arial" w:hAnsi="Arial" w:cs="Arial"/>
          <w:color w:val="000000"/>
          <w:sz w:val="20"/>
          <w:szCs w:val="20"/>
        </w:rPr>
        <w:t xml:space="preserve"> The contacts include appearances before commissioners in All Party meetings and Oral Arguments.</w:t>
      </w:r>
    </w:p>
    <w:p w:rsidR="003057FC" w:rsidRPr="008F27A1" w:rsidRDefault="003057FC" w:rsidP="00315B52">
      <w:pPr>
        <w:autoSpaceDE w:val="0"/>
        <w:autoSpaceDN w:val="0"/>
        <w:adjustRightInd w:val="0"/>
        <w:spacing w:before="120"/>
        <w:jc w:val="both"/>
        <w:rPr>
          <w:rFonts w:ascii="Arial" w:hAnsi="Arial" w:cs="Arial"/>
          <w:b/>
          <w:color w:val="4F81BD" w:themeColor="accent1"/>
          <w:sz w:val="20"/>
          <w:szCs w:val="20"/>
        </w:rPr>
      </w:pPr>
    </w:p>
    <w:p w:rsidR="00315B52" w:rsidRPr="00106DE4" w:rsidRDefault="00315B52" w:rsidP="00315B52">
      <w:pPr>
        <w:autoSpaceDE w:val="0"/>
        <w:autoSpaceDN w:val="0"/>
        <w:adjustRightInd w:val="0"/>
        <w:rPr>
          <w:rFonts w:ascii="Arial Black" w:hAnsi="Arial Black" w:cs="Arial"/>
          <w:b/>
          <w:color w:val="4F81BD" w:themeColor="accent1"/>
          <w:sz w:val="20"/>
          <w:szCs w:val="20"/>
        </w:rPr>
      </w:pPr>
      <w:r w:rsidRPr="000E6ABA">
        <w:rPr>
          <w:rFonts w:ascii="Arial Black" w:hAnsi="Arial Black" w:cs="Arial"/>
          <w:b/>
          <w:color w:val="4F81BD" w:themeColor="accent1"/>
          <w:sz w:val="20"/>
          <w:szCs w:val="20"/>
        </w:rPr>
        <w:t xml:space="preserve">ORA </w:t>
      </w:r>
      <w:r w:rsidR="000E6ABA">
        <w:rPr>
          <w:rFonts w:ascii="Arial Black" w:hAnsi="Arial Black" w:cs="Arial"/>
          <w:b/>
          <w:color w:val="4F81BD" w:themeColor="accent1"/>
          <w:sz w:val="20"/>
          <w:szCs w:val="20"/>
        </w:rPr>
        <w:t>conducted educational a</w:t>
      </w:r>
      <w:r w:rsidR="00106DE4">
        <w:rPr>
          <w:rFonts w:ascii="Arial Black" w:hAnsi="Arial Black" w:cs="Arial"/>
          <w:b/>
          <w:color w:val="4F81BD" w:themeColor="accent1"/>
          <w:sz w:val="20"/>
          <w:szCs w:val="20"/>
        </w:rPr>
        <w:t xml:space="preserve">nd informational meetings with </w:t>
      </w:r>
      <w:r w:rsidR="000E6ABA">
        <w:rPr>
          <w:rFonts w:ascii="Arial Black" w:hAnsi="Arial Black" w:cs="Arial"/>
          <w:b/>
          <w:color w:val="4F81BD" w:themeColor="accent1"/>
          <w:sz w:val="20"/>
          <w:szCs w:val="20"/>
        </w:rPr>
        <w:t>Co</w:t>
      </w:r>
      <w:r w:rsidRPr="000E6ABA">
        <w:rPr>
          <w:rFonts w:ascii="Arial Black" w:hAnsi="Arial Black" w:cs="Arial"/>
          <w:b/>
          <w:color w:val="4F81BD" w:themeColor="accent1"/>
          <w:sz w:val="20"/>
          <w:szCs w:val="20"/>
        </w:rPr>
        <w:t xml:space="preserve">mmissioners and/or their Advisors </w:t>
      </w:r>
      <w:r w:rsidR="001E25DC" w:rsidRPr="001E25DC">
        <w:rPr>
          <w:rFonts w:ascii="Arial Black" w:hAnsi="Arial Black" w:cs="Arial"/>
          <w:b/>
          <w:color w:val="4F81BD" w:themeColor="accent1"/>
          <w:sz w:val="20"/>
          <w:szCs w:val="20"/>
        </w:rPr>
        <w:t>11</w:t>
      </w:r>
      <w:r w:rsidR="00364EF6">
        <w:rPr>
          <w:rFonts w:ascii="Arial Black" w:hAnsi="Arial Black" w:cs="Arial"/>
          <w:b/>
          <w:color w:val="4F81BD" w:themeColor="accent1"/>
          <w:sz w:val="20"/>
          <w:szCs w:val="20"/>
        </w:rPr>
        <w:t>4</w:t>
      </w:r>
      <w:r w:rsidRPr="000E6ABA">
        <w:rPr>
          <w:rFonts w:ascii="Arial Black" w:hAnsi="Arial Black" w:cs="Arial"/>
          <w:b/>
          <w:color w:val="4F81BD" w:themeColor="accent1"/>
          <w:sz w:val="20"/>
          <w:szCs w:val="20"/>
        </w:rPr>
        <w:t xml:space="preserve"> times. </w:t>
      </w:r>
    </w:p>
    <w:p w:rsidR="00315B52" w:rsidRDefault="00315B52" w:rsidP="00315B52">
      <w:pPr>
        <w:rPr>
          <w:rFonts w:ascii="Arial" w:hAnsi="Arial" w:cs="Arial"/>
          <w:b/>
          <w:bCs/>
          <w:color w:val="000000"/>
          <w:sz w:val="20"/>
          <w:szCs w:val="20"/>
        </w:rPr>
      </w:pPr>
    </w:p>
    <w:p w:rsidR="00535D14" w:rsidRDefault="00535D14" w:rsidP="008C6668">
      <w:pPr>
        <w:autoSpaceDE w:val="0"/>
        <w:autoSpaceDN w:val="0"/>
        <w:adjustRightInd w:val="0"/>
        <w:spacing w:after="120"/>
        <w:rPr>
          <w:rFonts w:ascii="Arial" w:hAnsi="Arial" w:cs="Arial"/>
          <w:b/>
          <w:bCs/>
          <w:color w:val="000000"/>
          <w:sz w:val="20"/>
          <w:szCs w:val="20"/>
        </w:rPr>
      </w:pPr>
    </w:p>
    <w:p w:rsidR="00BB2729" w:rsidRDefault="00BB2729" w:rsidP="00315B52">
      <w:pPr>
        <w:autoSpaceDE w:val="0"/>
        <w:autoSpaceDN w:val="0"/>
        <w:adjustRightInd w:val="0"/>
        <w:spacing w:after="120"/>
        <w:jc w:val="center"/>
        <w:rPr>
          <w:rFonts w:ascii="Arial" w:hAnsi="Arial" w:cs="Arial"/>
          <w:b/>
          <w:bCs/>
          <w:color w:val="000000"/>
          <w:sz w:val="20"/>
          <w:szCs w:val="20"/>
        </w:rPr>
      </w:pPr>
    </w:p>
    <w:p w:rsidR="00B90FD7" w:rsidRDefault="00B90FD7" w:rsidP="00F50234">
      <w:pPr>
        <w:autoSpaceDE w:val="0"/>
        <w:autoSpaceDN w:val="0"/>
        <w:adjustRightInd w:val="0"/>
        <w:spacing w:after="120"/>
        <w:jc w:val="center"/>
        <w:rPr>
          <w:rFonts w:ascii="Arial" w:hAnsi="Arial" w:cs="Arial"/>
          <w:b/>
          <w:bCs/>
          <w:color w:val="000000"/>
          <w:sz w:val="20"/>
          <w:szCs w:val="20"/>
        </w:rPr>
      </w:pPr>
    </w:p>
    <w:p w:rsidR="00315B52" w:rsidRPr="008F27A1" w:rsidRDefault="004146DD" w:rsidP="00F50234">
      <w:pPr>
        <w:autoSpaceDE w:val="0"/>
        <w:autoSpaceDN w:val="0"/>
        <w:adjustRightInd w:val="0"/>
        <w:spacing w:after="120"/>
        <w:jc w:val="center"/>
        <w:rPr>
          <w:rFonts w:ascii="Arial" w:hAnsi="Arial" w:cs="Arial"/>
          <w:b/>
          <w:bCs/>
          <w:color w:val="000000"/>
          <w:sz w:val="20"/>
          <w:szCs w:val="20"/>
        </w:rPr>
      </w:pPr>
      <w:r>
        <w:rPr>
          <w:rFonts w:ascii="Arial" w:hAnsi="Arial" w:cs="Arial"/>
          <w:b/>
          <w:bCs/>
          <w:color w:val="000000"/>
          <w:sz w:val="20"/>
          <w:szCs w:val="20"/>
        </w:rPr>
        <w:t>Number of ORA Outreach</w:t>
      </w:r>
      <w:r w:rsidR="00315B52" w:rsidRPr="008F27A1">
        <w:rPr>
          <w:rFonts w:ascii="Arial" w:hAnsi="Arial" w:cs="Arial"/>
          <w:b/>
          <w:bCs/>
          <w:color w:val="000000"/>
          <w:sz w:val="20"/>
          <w:szCs w:val="20"/>
        </w:rPr>
        <w:t xml:space="preserve"> Visits with Commissioner Offices in 201</w:t>
      </w:r>
      <w:r w:rsidR="00315B52">
        <w:rPr>
          <w:rFonts w:ascii="Arial" w:hAnsi="Arial" w:cs="Arial"/>
          <w:b/>
          <w:bCs/>
          <w:color w:val="000000"/>
          <w:sz w:val="20"/>
          <w:szCs w:val="20"/>
        </w:rPr>
        <w:t>5</w:t>
      </w:r>
      <w:r w:rsidR="00315B52" w:rsidRPr="008F27A1">
        <w:rPr>
          <w:rStyle w:val="FootnoteReference"/>
          <w:rFonts w:ascii="Arial" w:hAnsi="Arial" w:cs="Arial"/>
          <w:b/>
          <w:bCs/>
          <w:color w:val="000000"/>
          <w:sz w:val="20"/>
          <w:szCs w:val="20"/>
        </w:rPr>
        <w:footnoteReference w:id="13"/>
      </w:r>
      <w:r w:rsidR="00D0269E">
        <w:rPr>
          <w:noProof/>
        </w:rPr>
        <w:drawing>
          <wp:inline distT="0" distB="0" distL="0" distR="0" wp14:anchorId="2226F7D3" wp14:editId="6D80EEB1">
            <wp:extent cx="5638800" cy="3038475"/>
            <wp:effectExtent l="0" t="0" r="1905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15B52" w:rsidRPr="008F27A1" w:rsidRDefault="00315B52" w:rsidP="00315B52">
      <w:pPr>
        <w:rPr>
          <w:rFonts w:ascii="Arial" w:hAnsi="Arial" w:cs="Arial"/>
          <w:b/>
          <w:color w:val="4F81BD" w:themeColor="accent1"/>
          <w:sz w:val="20"/>
          <w:szCs w:val="20"/>
        </w:rPr>
      </w:pPr>
    </w:p>
    <w:p w:rsidR="001E25DC" w:rsidRDefault="001E25DC" w:rsidP="00315B52">
      <w:pPr>
        <w:spacing w:line="288" w:lineRule="auto"/>
        <w:rPr>
          <w:rFonts w:ascii="Arial Black" w:hAnsi="Arial Black" w:cs="Arial"/>
          <w:b/>
          <w:color w:val="4F81BD" w:themeColor="accent1"/>
          <w:sz w:val="20"/>
          <w:szCs w:val="20"/>
        </w:rPr>
      </w:pPr>
    </w:p>
    <w:p w:rsidR="00315B52" w:rsidRPr="00535D14" w:rsidRDefault="00315B52" w:rsidP="00315B52">
      <w:pPr>
        <w:spacing w:line="288" w:lineRule="auto"/>
        <w:rPr>
          <w:rFonts w:ascii="Arial Black" w:hAnsi="Arial Black" w:cs="Arial"/>
          <w:b/>
          <w:color w:val="4F81BD" w:themeColor="accent1"/>
          <w:sz w:val="20"/>
          <w:szCs w:val="20"/>
        </w:rPr>
      </w:pPr>
      <w:r w:rsidRPr="00535D14">
        <w:rPr>
          <w:rFonts w:ascii="Arial Black" w:hAnsi="Arial Black" w:cs="Arial"/>
          <w:b/>
          <w:color w:val="4F81BD" w:themeColor="accent1"/>
          <w:sz w:val="20"/>
          <w:szCs w:val="20"/>
        </w:rPr>
        <w:t>ORA me</w:t>
      </w:r>
      <w:r w:rsidR="002A2D6B">
        <w:rPr>
          <w:rFonts w:ascii="Arial Black" w:hAnsi="Arial Black" w:cs="Arial"/>
          <w:b/>
          <w:color w:val="4F81BD" w:themeColor="accent1"/>
          <w:sz w:val="20"/>
          <w:szCs w:val="20"/>
        </w:rPr>
        <w:t>t directly with Commissioners 20</w:t>
      </w:r>
      <w:r w:rsidRPr="00535D14">
        <w:rPr>
          <w:rFonts w:ascii="Arial Black" w:hAnsi="Arial Black" w:cs="Arial"/>
          <w:b/>
          <w:color w:val="4F81BD" w:themeColor="accent1"/>
          <w:sz w:val="20"/>
          <w:szCs w:val="20"/>
        </w:rPr>
        <w:t xml:space="preserve"> times.</w:t>
      </w:r>
    </w:p>
    <w:p w:rsidR="00315B52" w:rsidRPr="008F27A1" w:rsidRDefault="00315B52" w:rsidP="00315B52">
      <w:pPr>
        <w:spacing w:line="288" w:lineRule="auto"/>
        <w:rPr>
          <w:rFonts w:ascii="Arial" w:hAnsi="Arial" w:cs="Arial"/>
          <w:color w:val="000000"/>
          <w:sz w:val="20"/>
          <w:szCs w:val="20"/>
        </w:rPr>
      </w:pPr>
    </w:p>
    <w:p w:rsidR="00315B52" w:rsidRPr="008F27A1" w:rsidRDefault="004146DD" w:rsidP="00315B52">
      <w:pPr>
        <w:spacing w:line="288" w:lineRule="auto"/>
        <w:jc w:val="both"/>
        <w:rPr>
          <w:rFonts w:ascii="Arial" w:hAnsi="Arial" w:cs="Arial"/>
          <w:sz w:val="20"/>
          <w:szCs w:val="20"/>
        </w:rPr>
      </w:pPr>
      <w:r>
        <w:rPr>
          <w:rFonts w:ascii="Arial" w:hAnsi="Arial" w:cs="Arial"/>
          <w:sz w:val="20"/>
          <w:szCs w:val="20"/>
        </w:rPr>
        <w:t>ORA request</w:t>
      </w:r>
      <w:r w:rsidR="00315B52" w:rsidRPr="008F27A1">
        <w:rPr>
          <w:rFonts w:ascii="Arial" w:hAnsi="Arial" w:cs="Arial"/>
          <w:sz w:val="20"/>
          <w:szCs w:val="20"/>
        </w:rPr>
        <w:t>s meetings with CPUC commissioners to discuss important ratepayer issues. The following are the number of individual meeting requests that were granted by each commissioner.</w:t>
      </w:r>
    </w:p>
    <w:p w:rsidR="00315B52" w:rsidRPr="008F27A1" w:rsidRDefault="00315B52" w:rsidP="00315B52">
      <w:pPr>
        <w:spacing w:line="276" w:lineRule="auto"/>
        <w:rPr>
          <w:rFonts w:ascii="Arial" w:hAnsi="Arial" w:cs="Arial"/>
          <w:sz w:val="20"/>
          <w:szCs w:val="20"/>
        </w:rPr>
      </w:pPr>
    </w:p>
    <w:p w:rsidR="00315B52" w:rsidRPr="008F27A1" w:rsidRDefault="00315B52" w:rsidP="00F50234">
      <w:pPr>
        <w:spacing w:after="120" w:line="276" w:lineRule="auto"/>
        <w:jc w:val="center"/>
        <w:rPr>
          <w:rFonts w:ascii="Arial" w:hAnsi="Arial" w:cs="Arial"/>
          <w:b/>
          <w:sz w:val="20"/>
          <w:szCs w:val="20"/>
        </w:rPr>
      </w:pPr>
      <w:r w:rsidRPr="008F27A1">
        <w:rPr>
          <w:rFonts w:ascii="Arial" w:hAnsi="Arial" w:cs="Arial"/>
          <w:b/>
          <w:bCs/>
          <w:color w:val="000000"/>
          <w:sz w:val="20"/>
          <w:szCs w:val="20"/>
        </w:rPr>
        <w:t xml:space="preserve">Number of ORA </w:t>
      </w:r>
      <w:r w:rsidR="00105C46">
        <w:rPr>
          <w:rFonts w:ascii="Arial" w:hAnsi="Arial" w:cs="Arial"/>
          <w:b/>
          <w:bCs/>
          <w:color w:val="000000"/>
          <w:sz w:val="20"/>
          <w:szCs w:val="20"/>
        </w:rPr>
        <w:t>Outreach</w:t>
      </w:r>
      <w:r w:rsidRPr="008F27A1">
        <w:rPr>
          <w:rFonts w:ascii="Arial" w:hAnsi="Arial" w:cs="Arial"/>
          <w:b/>
          <w:bCs/>
          <w:color w:val="000000"/>
          <w:sz w:val="20"/>
          <w:szCs w:val="20"/>
        </w:rPr>
        <w:t xml:space="preserve"> Visits wit</w:t>
      </w:r>
      <w:r>
        <w:rPr>
          <w:rFonts w:ascii="Arial" w:hAnsi="Arial" w:cs="Arial"/>
          <w:b/>
          <w:bCs/>
          <w:color w:val="000000"/>
          <w:sz w:val="20"/>
          <w:szCs w:val="20"/>
        </w:rPr>
        <w:t>h Commissioners Directly in 2015</w:t>
      </w:r>
      <w:r w:rsidR="000028DE">
        <w:rPr>
          <w:noProof/>
        </w:rPr>
        <w:drawing>
          <wp:inline distT="0" distB="0" distL="0" distR="0" wp14:anchorId="270F69ED" wp14:editId="155F7155">
            <wp:extent cx="5076825" cy="3025408"/>
            <wp:effectExtent l="0" t="0" r="9525" b="22860"/>
            <wp:docPr id="5315" name="Chart 5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B2E13" w:rsidRDefault="000B2E13" w:rsidP="00535D14">
      <w:pPr>
        <w:rPr>
          <w:rFonts w:ascii="Arial" w:hAnsi="Arial" w:cs="Arial"/>
          <w:color w:val="000000"/>
          <w:sz w:val="20"/>
          <w:szCs w:val="20"/>
        </w:rPr>
      </w:pPr>
    </w:p>
    <w:p w:rsidR="00106DE4" w:rsidRDefault="00106DE4" w:rsidP="00535D14">
      <w:pPr>
        <w:rPr>
          <w:rFonts w:ascii="Arial" w:hAnsi="Arial" w:cs="Arial"/>
          <w:color w:val="000000"/>
          <w:sz w:val="20"/>
          <w:szCs w:val="20"/>
        </w:rPr>
      </w:pPr>
    </w:p>
    <w:p w:rsidR="00C80C15" w:rsidRDefault="00C80C15" w:rsidP="00315B52">
      <w:pPr>
        <w:spacing w:line="288" w:lineRule="auto"/>
        <w:rPr>
          <w:rFonts w:ascii="Arial Black" w:hAnsi="Arial Black" w:cs="Arial"/>
          <w:b/>
          <w:color w:val="4F81BD" w:themeColor="accent1"/>
          <w:sz w:val="20"/>
          <w:szCs w:val="20"/>
        </w:rPr>
      </w:pPr>
    </w:p>
    <w:p w:rsidR="00315B52" w:rsidRPr="00535D14" w:rsidRDefault="00315B52" w:rsidP="00315B52">
      <w:pPr>
        <w:spacing w:line="288" w:lineRule="auto"/>
        <w:rPr>
          <w:rFonts w:ascii="Arial Black" w:hAnsi="Arial Black" w:cs="Arial"/>
          <w:b/>
          <w:color w:val="4F81BD" w:themeColor="accent1"/>
          <w:sz w:val="20"/>
          <w:szCs w:val="20"/>
        </w:rPr>
      </w:pPr>
      <w:r w:rsidRPr="00535D14">
        <w:rPr>
          <w:rFonts w:ascii="Arial Black" w:hAnsi="Arial Black" w:cs="Arial"/>
          <w:b/>
          <w:color w:val="4F81BD" w:themeColor="accent1"/>
          <w:sz w:val="20"/>
          <w:szCs w:val="20"/>
        </w:rPr>
        <w:t xml:space="preserve">ORA reached the public through the media </w:t>
      </w:r>
      <w:r w:rsidR="00C112CF" w:rsidRPr="00C112CF">
        <w:rPr>
          <w:rFonts w:ascii="Arial Black" w:hAnsi="Arial Black" w:cs="Arial"/>
          <w:b/>
          <w:color w:val="4F81BD" w:themeColor="accent1"/>
          <w:sz w:val="20"/>
          <w:szCs w:val="20"/>
        </w:rPr>
        <w:t>126</w:t>
      </w:r>
      <w:r w:rsidRPr="00535D14">
        <w:rPr>
          <w:rFonts w:ascii="Arial Black" w:hAnsi="Arial Black" w:cs="Arial"/>
          <w:b/>
          <w:color w:val="4F81BD" w:themeColor="accent1"/>
          <w:sz w:val="20"/>
          <w:szCs w:val="20"/>
        </w:rPr>
        <w:t xml:space="preserve"> times.</w:t>
      </w:r>
    </w:p>
    <w:p w:rsidR="00315B52" w:rsidRPr="008F27A1" w:rsidRDefault="00315B52" w:rsidP="00315B52">
      <w:pPr>
        <w:spacing w:line="288" w:lineRule="auto"/>
        <w:rPr>
          <w:rFonts w:ascii="Arial" w:hAnsi="Arial" w:cs="Arial"/>
          <w:sz w:val="20"/>
          <w:szCs w:val="20"/>
        </w:rPr>
      </w:pPr>
    </w:p>
    <w:p w:rsidR="00315B52" w:rsidRPr="008F27A1" w:rsidRDefault="00315B52" w:rsidP="00315B52">
      <w:pPr>
        <w:spacing w:line="288" w:lineRule="auto"/>
        <w:jc w:val="both"/>
        <w:rPr>
          <w:rFonts w:ascii="Arial" w:hAnsi="Arial" w:cs="Arial"/>
          <w:sz w:val="20"/>
          <w:szCs w:val="20"/>
        </w:rPr>
      </w:pPr>
      <w:r w:rsidRPr="008F27A1">
        <w:rPr>
          <w:rFonts w:ascii="Arial" w:hAnsi="Arial" w:cs="Arial"/>
          <w:sz w:val="20"/>
          <w:szCs w:val="20"/>
        </w:rPr>
        <w:t xml:space="preserve">In an effort to create greater transparency of ORA’s advocacy work in the CPUC decision-making process and the outcomes which will affect the daily lives of Californians, ORA reaches out to the public via the press, internet, and social media. ORA’s efforts resulted in </w:t>
      </w:r>
      <w:r>
        <w:rPr>
          <w:rFonts w:ascii="Arial" w:hAnsi="Arial" w:cs="Arial"/>
          <w:sz w:val="20"/>
          <w:szCs w:val="20"/>
        </w:rPr>
        <w:t>101</w:t>
      </w:r>
      <w:r w:rsidRPr="008F27A1">
        <w:rPr>
          <w:rFonts w:ascii="Arial" w:hAnsi="Arial" w:cs="Arial"/>
          <w:sz w:val="20"/>
          <w:szCs w:val="20"/>
        </w:rPr>
        <w:t xml:space="preserve"> press mentions in large and small California media outlets across the state. Additionally, ORA aided in providing the ratepayer perspective in numerous other news stories.</w:t>
      </w:r>
    </w:p>
    <w:p w:rsidR="00315B52" w:rsidRPr="008F27A1" w:rsidRDefault="00315B52" w:rsidP="00315B52">
      <w:pPr>
        <w:spacing w:line="312" w:lineRule="auto"/>
        <w:jc w:val="center"/>
        <w:rPr>
          <w:rFonts w:ascii="Arial" w:hAnsi="Arial" w:cs="Arial"/>
          <w:b/>
          <w:sz w:val="20"/>
          <w:szCs w:val="20"/>
        </w:rPr>
      </w:pPr>
    </w:p>
    <w:p w:rsidR="00315B52" w:rsidRDefault="00315B52" w:rsidP="00315B52">
      <w:pPr>
        <w:jc w:val="center"/>
        <w:rPr>
          <w:rFonts w:ascii="Arial" w:hAnsi="Arial" w:cs="Arial"/>
          <w:b/>
          <w:sz w:val="20"/>
          <w:szCs w:val="20"/>
        </w:rPr>
      </w:pPr>
    </w:p>
    <w:p w:rsidR="0097465F" w:rsidRDefault="00315B52" w:rsidP="00315B52">
      <w:pPr>
        <w:jc w:val="center"/>
        <w:rPr>
          <w:rFonts w:ascii="Arial" w:hAnsi="Arial" w:cs="Arial"/>
          <w:b/>
          <w:sz w:val="20"/>
          <w:szCs w:val="20"/>
        </w:rPr>
      </w:pPr>
      <w:r w:rsidRPr="008F27A1">
        <w:rPr>
          <w:rFonts w:ascii="Arial" w:hAnsi="Arial" w:cs="Arial"/>
          <w:b/>
          <w:sz w:val="20"/>
          <w:szCs w:val="20"/>
        </w:rPr>
        <w:t>201</w:t>
      </w:r>
      <w:r>
        <w:rPr>
          <w:rFonts w:ascii="Arial" w:hAnsi="Arial" w:cs="Arial"/>
          <w:b/>
          <w:sz w:val="20"/>
          <w:szCs w:val="20"/>
        </w:rPr>
        <w:t>5</w:t>
      </w:r>
      <w:r w:rsidRPr="008F27A1">
        <w:rPr>
          <w:rFonts w:ascii="Arial" w:hAnsi="Arial" w:cs="Arial"/>
          <w:b/>
          <w:sz w:val="20"/>
          <w:szCs w:val="20"/>
        </w:rPr>
        <w:t xml:space="preserve"> ORA Press Mentions</w:t>
      </w:r>
    </w:p>
    <w:p w:rsidR="00315B52" w:rsidRPr="0097465F" w:rsidRDefault="0097465F" w:rsidP="0097465F">
      <w:pPr>
        <w:jc w:val="center"/>
        <w:rPr>
          <w:rFonts w:ascii="Arial" w:hAnsi="Arial" w:cs="Arial"/>
          <w:b/>
          <w:sz w:val="20"/>
          <w:szCs w:val="20"/>
        </w:rPr>
      </w:pPr>
      <w:r>
        <w:rPr>
          <w:noProof/>
        </w:rPr>
        <w:drawing>
          <wp:inline distT="0" distB="0" distL="0" distR="0" wp14:anchorId="3BE3FFA6" wp14:editId="34D360D1">
            <wp:extent cx="5591175" cy="3028950"/>
            <wp:effectExtent l="0" t="0" r="9525"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15B52" w:rsidRPr="008F27A1" w:rsidRDefault="00315B52" w:rsidP="00315B52">
      <w:pPr>
        <w:spacing w:before="120" w:line="288" w:lineRule="auto"/>
        <w:jc w:val="both"/>
        <w:rPr>
          <w:rFonts w:ascii="Arial" w:hAnsi="Arial" w:cs="Arial"/>
          <w:sz w:val="20"/>
          <w:szCs w:val="20"/>
        </w:rPr>
      </w:pPr>
    </w:p>
    <w:p w:rsidR="00210CBD" w:rsidRDefault="00315B52" w:rsidP="00315B52">
      <w:pPr>
        <w:spacing w:line="288" w:lineRule="auto"/>
        <w:jc w:val="both"/>
        <w:rPr>
          <w:rFonts w:ascii="Arial" w:hAnsi="Arial" w:cs="Arial"/>
          <w:sz w:val="20"/>
          <w:szCs w:val="20"/>
        </w:rPr>
      </w:pPr>
      <w:r w:rsidRPr="008F27A1">
        <w:rPr>
          <w:rFonts w:ascii="Arial" w:hAnsi="Arial" w:cs="Arial"/>
          <w:sz w:val="20"/>
          <w:szCs w:val="20"/>
        </w:rPr>
        <w:t>ORA also works with a wide variety of stakeholders</w:t>
      </w:r>
      <w:r w:rsidR="00105C46">
        <w:rPr>
          <w:rFonts w:ascii="Arial" w:hAnsi="Arial" w:cs="Arial"/>
          <w:sz w:val="20"/>
          <w:szCs w:val="20"/>
        </w:rPr>
        <w:t>,</w:t>
      </w:r>
      <w:r w:rsidRPr="008F27A1">
        <w:rPr>
          <w:rFonts w:ascii="Arial" w:hAnsi="Arial" w:cs="Arial"/>
          <w:sz w:val="20"/>
          <w:szCs w:val="20"/>
        </w:rPr>
        <w:t xml:space="preserve"> including small business organizations, community and environme</w:t>
      </w:r>
      <w:r w:rsidR="00105C46">
        <w:rPr>
          <w:rFonts w:ascii="Arial" w:hAnsi="Arial" w:cs="Arial"/>
          <w:sz w:val="20"/>
          <w:szCs w:val="20"/>
        </w:rPr>
        <w:t>ntal groups, and other consumer-</w:t>
      </w:r>
      <w:r w:rsidRPr="008F27A1">
        <w:rPr>
          <w:rFonts w:ascii="Arial" w:hAnsi="Arial" w:cs="Arial"/>
          <w:sz w:val="20"/>
          <w:szCs w:val="20"/>
        </w:rPr>
        <w:t>oriented organizations to augment the voice of customers before the CPUC and in other forums.</w:t>
      </w:r>
    </w:p>
    <w:p w:rsidR="00210CBD" w:rsidRDefault="00210CBD">
      <w:pPr>
        <w:rPr>
          <w:rFonts w:ascii="Arial" w:hAnsi="Arial" w:cs="Arial"/>
          <w:sz w:val="20"/>
          <w:szCs w:val="20"/>
        </w:rPr>
      </w:pPr>
      <w:r>
        <w:rPr>
          <w:rFonts w:ascii="Arial" w:hAnsi="Arial" w:cs="Arial"/>
          <w:sz w:val="20"/>
          <w:szCs w:val="20"/>
        </w:rPr>
        <w:br w:type="page"/>
      </w:r>
    </w:p>
    <w:p w:rsidR="00315B52" w:rsidRPr="008F27A1" w:rsidRDefault="00315B52" w:rsidP="00315B52">
      <w:pPr>
        <w:spacing w:line="288" w:lineRule="auto"/>
        <w:jc w:val="both"/>
        <w:rPr>
          <w:rFonts w:ascii="Arial" w:hAnsi="Arial" w:cs="Arial"/>
          <w:sz w:val="20"/>
          <w:szCs w:val="20"/>
        </w:rPr>
      </w:pPr>
    </w:p>
    <w:p w:rsidR="00315B52" w:rsidRDefault="005A69EC" w:rsidP="00315B52">
      <w:pPr>
        <w:spacing w:line="288" w:lineRule="auto"/>
        <w:jc w:val="both"/>
        <w:rPr>
          <w:rFonts w:ascii="Century Gothic" w:hAnsi="Century Gothic"/>
          <w:sz w:val="20"/>
          <w:szCs w:val="20"/>
        </w:rPr>
      </w:pPr>
      <w:r w:rsidRPr="00B11DD0">
        <w:rPr>
          <w:rFonts w:ascii="Arial" w:hAnsi="Arial" w:cs="Arial"/>
          <w:b/>
          <w:bCs/>
          <w:noProof/>
          <w:color w:val="505050"/>
          <w:sz w:val="22"/>
          <w:szCs w:val="22"/>
        </w:rPr>
        <mc:AlternateContent>
          <mc:Choice Requires="wps">
            <w:drawing>
              <wp:anchor distT="0" distB="0" distL="114300" distR="114300" simplePos="0" relativeHeight="251743744" behindDoc="0" locked="0" layoutInCell="1" allowOverlap="1" wp14:anchorId="0418AAA4" wp14:editId="415710EC">
                <wp:simplePos x="0" y="0"/>
                <wp:positionH relativeFrom="column">
                  <wp:posOffset>-38735</wp:posOffset>
                </wp:positionH>
                <wp:positionV relativeFrom="paragraph">
                  <wp:posOffset>21285</wp:posOffset>
                </wp:positionV>
                <wp:extent cx="4724400" cy="879475"/>
                <wp:effectExtent l="0" t="0" r="0" b="0"/>
                <wp:wrapNone/>
                <wp:docPr id="5180" name="TextBox 8"/>
                <wp:cNvGraphicFramePr/>
                <a:graphic xmlns:a="http://schemas.openxmlformats.org/drawingml/2006/main">
                  <a:graphicData uri="http://schemas.microsoft.com/office/word/2010/wordprocessingShape">
                    <wps:wsp>
                      <wps:cNvSpPr txBox="1"/>
                      <wps:spPr>
                        <a:xfrm>
                          <a:off x="0" y="0"/>
                          <a:ext cx="4724400" cy="879475"/>
                        </a:xfrm>
                        <a:prstGeom prst="rect">
                          <a:avLst/>
                        </a:prstGeom>
                        <a:noFill/>
                        <a:effectLst>
                          <a:outerShdw blurRad="101600" dist="76200" dir="2700000" algn="tl" rotWithShape="0">
                            <a:prstClr val="black">
                              <a:alpha val="30000"/>
                            </a:prstClr>
                          </a:outerShdw>
                        </a:effectLst>
                      </wps:spPr>
                      <wps:txbx>
                        <w:txbxContent>
                          <w:p w:rsidR="00CE6E80" w:rsidRDefault="00CE6E80" w:rsidP="00B11DD0">
                            <w:pPr>
                              <w:pStyle w:val="NormalWeb"/>
                            </w:pPr>
                            <w:r>
                              <w:rPr>
                                <w:rFonts w:ascii="Arial Black" w:hAnsi="Arial Black" w:cstheme="minorBidi"/>
                                <w:color w:val="000000" w:themeColor="text1"/>
                                <w:kern w:val="24"/>
                                <w:sz w:val="88"/>
                                <w:szCs w:val="88"/>
                              </w:rPr>
                              <w:t>O</w:t>
                            </w:r>
                            <w:r>
                              <w:rPr>
                                <w:rFonts w:ascii="Arial Black" w:hAnsi="Arial Black" w:cstheme="minorBidi"/>
                                <w:color w:val="000000" w:themeColor="text1"/>
                                <w:kern w:val="24"/>
                                <w:sz w:val="64"/>
                                <w:szCs w:val="64"/>
                              </w:rPr>
                              <w:t xml:space="preserve">RA </w:t>
                            </w:r>
                            <w:r>
                              <w:rPr>
                                <w:rFonts w:ascii="Arial Black" w:hAnsi="Arial Black" w:cstheme="minorBidi"/>
                                <w:color w:val="000000" w:themeColor="text1"/>
                                <w:kern w:val="24"/>
                                <w:sz w:val="56"/>
                                <w:szCs w:val="56"/>
                              </w:rPr>
                              <w:t>in</w:t>
                            </w:r>
                            <w:r>
                              <w:rPr>
                                <w:rFonts w:ascii="Arial Black" w:hAnsi="Arial Black" w:cstheme="minorBidi"/>
                                <w:color w:val="000000" w:themeColor="text1"/>
                                <w:kern w:val="24"/>
                                <w:sz w:val="64"/>
                                <w:szCs w:val="64"/>
                              </w:rPr>
                              <w:t xml:space="preserve"> </w:t>
                            </w:r>
                            <w:r>
                              <w:rPr>
                                <w:rFonts w:ascii="Arial Black" w:hAnsi="Arial Black" w:cstheme="minorBidi"/>
                                <w:color w:val="000000" w:themeColor="text1"/>
                                <w:kern w:val="24"/>
                                <w:sz w:val="88"/>
                                <w:szCs w:val="88"/>
                              </w:rPr>
                              <w:t>S</w:t>
                            </w:r>
                            <w:r>
                              <w:rPr>
                                <w:rFonts w:ascii="Arial Black" w:hAnsi="Arial Black" w:cstheme="minorBidi"/>
                                <w:color w:val="000000" w:themeColor="text1"/>
                                <w:kern w:val="24"/>
                                <w:sz w:val="64"/>
                                <w:szCs w:val="64"/>
                              </w:rPr>
                              <w:t>acramento</w:t>
                            </w:r>
                          </w:p>
                        </w:txbxContent>
                      </wps:txbx>
                      <wps:bodyPr wrap="square" rtlCol="0">
                        <a:spAutoFit/>
                      </wps:bodyPr>
                    </wps:wsp>
                  </a:graphicData>
                </a:graphic>
              </wp:anchor>
            </w:drawing>
          </mc:Choice>
          <mc:Fallback>
            <w:pict>
              <v:shape id="_x0000_s1062" type="#_x0000_t202" style="position:absolute;left:0;text-align:left;margin-left:-3.05pt;margin-top:1.7pt;width:372pt;height:69.25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" filled="f" stroked="f">
                <v:shadow on="t" color="black" opacity="19660f" origin="-.5,-.5" offset="1.49672mm,1.49672mm"/>
                <v:textbox style="mso-fit-shape-to-text:t">
                  <w:txbxContent>
                    <w:p w:rsidR="00CE6E80" w:rsidRDefault="00CE6E80" w:rsidP="00B11DD0">
                      <w:pPr>
                        <w:pStyle w:val="NormalWeb"/>
                      </w:pPr>
                      <w:r>
                        <w:rPr>
                          <w:rFonts w:ascii="Arial Black" w:hAnsi="Arial Black" w:cstheme="minorBidi"/>
                          <w:color w:val="000000" w:themeColor="text1"/>
                          <w:kern w:val="24"/>
                          <w:sz w:val="88"/>
                          <w:szCs w:val="88"/>
                        </w:rPr>
                        <w:t>O</w:t>
                      </w:r>
                      <w:r>
                        <w:rPr>
                          <w:rFonts w:ascii="Arial Black" w:hAnsi="Arial Black" w:cstheme="minorBidi"/>
                          <w:color w:val="000000" w:themeColor="text1"/>
                          <w:kern w:val="24"/>
                          <w:sz w:val="64"/>
                          <w:szCs w:val="64"/>
                        </w:rPr>
                        <w:t xml:space="preserve">RA </w:t>
                      </w:r>
                      <w:r>
                        <w:rPr>
                          <w:rFonts w:ascii="Arial Black" w:hAnsi="Arial Black" w:cstheme="minorBidi"/>
                          <w:color w:val="000000" w:themeColor="text1"/>
                          <w:kern w:val="24"/>
                          <w:sz w:val="56"/>
                          <w:szCs w:val="56"/>
                        </w:rPr>
                        <w:t>in</w:t>
                      </w:r>
                      <w:r>
                        <w:rPr>
                          <w:rFonts w:ascii="Arial Black" w:hAnsi="Arial Black" w:cstheme="minorBidi"/>
                          <w:color w:val="000000" w:themeColor="text1"/>
                          <w:kern w:val="24"/>
                          <w:sz w:val="64"/>
                          <w:szCs w:val="64"/>
                        </w:rPr>
                        <w:t xml:space="preserve"> </w:t>
                      </w:r>
                      <w:r>
                        <w:rPr>
                          <w:rFonts w:ascii="Arial Black" w:hAnsi="Arial Black" w:cstheme="minorBidi"/>
                          <w:color w:val="000000" w:themeColor="text1"/>
                          <w:kern w:val="24"/>
                          <w:sz w:val="88"/>
                          <w:szCs w:val="88"/>
                        </w:rPr>
                        <w:t>S</w:t>
                      </w:r>
                      <w:r>
                        <w:rPr>
                          <w:rFonts w:ascii="Arial Black" w:hAnsi="Arial Black" w:cstheme="minorBidi"/>
                          <w:color w:val="000000" w:themeColor="text1"/>
                          <w:kern w:val="24"/>
                          <w:sz w:val="64"/>
                          <w:szCs w:val="64"/>
                        </w:rPr>
                        <w:t>acramento</w:t>
                      </w:r>
                    </w:p>
                  </w:txbxContent>
                </v:textbox>
              </v:shape>
            </w:pict>
          </mc:Fallback>
        </mc:AlternateContent>
      </w:r>
    </w:p>
    <w:p w:rsidR="00B11DD0" w:rsidRDefault="00B11DD0" w:rsidP="00D02D79">
      <w:pPr>
        <w:pStyle w:val="NormalWeb"/>
        <w:rPr>
          <w:rFonts w:ascii="Arial" w:hAnsi="Arial" w:cs="Arial"/>
          <w:b/>
          <w:bCs/>
          <w:color w:val="505050"/>
          <w:sz w:val="22"/>
          <w:szCs w:val="22"/>
        </w:rPr>
      </w:pPr>
    </w:p>
    <w:p w:rsidR="00B11DD0" w:rsidRDefault="00B11DD0" w:rsidP="00D02D79">
      <w:pPr>
        <w:pStyle w:val="NormalWeb"/>
        <w:rPr>
          <w:rFonts w:ascii="Arial" w:hAnsi="Arial" w:cs="Arial"/>
          <w:b/>
          <w:bCs/>
          <w:color w:val="505050"/>
          <w:sz w:val="22"/>
          <w:szCs w:val="22"/>
        </w:rPr>
      </w:pPr>
    </w:p>
    <w:p w:rsidR="00B11DD0" w:rsidRDefault="00B11DD0" w:rsidP="00D02D79">
      <w:pPr>
        <w:pStyle w:val="NormalWeb"/>
        <w:rPr>
          <w:rFonts w:ascii="Arial" w:hAnsi="Arial" w:cs="Arial"/>
          <w:b/>
          <w:bCs/>
          <w:color w:val="505050"/>
          <w:sz w:val="22"/>
          <w:szCs w:val="22"/>
        </w:rPr>
      </w:pPr>
    </w:p>
    <w:p w:rsidR="00B11DD0" w:rsidRDefault="00B11DD0" w:rsidP="00D02D79">
      <w:pPr>
        <w:pStyle w:val="NormalWeb"/>
        <w:rPr>
          <w:rFonts w:ascii="Arial" w:hAnsi="Arial" w:cs="Arial"/>
          <w:b/>
          <w:bCs/>
          <w:color w:val="505050"/>
          <w:sz w:val="22"/>
          <w:szCs w:val="22"/>
        </w:rPr>
      </w:pPr>
    </w:p>
    <w:p w:rsidR="00B11DD0" w:rsidRDefault="00413BED" w:rsidP="00D02D79">
      <w:pPr>
        <w:pStyle w:val="NormalWeb"/>
        <w:rPr>
          <w:rFonts w:ascii="Arial" w:hAnsi="Arial" w:cs="Arial"/>
          <w:b/>
          <w:bCs/>
          <w:color w:val="505050"/>
          <w:sz w:val="22"/>
          <w:szCs w:val="22"/>
        </w:rPr>
      </w:pPr>
      <w:r>
        <w:rPr>
          <w:rFonts w:ascii="Arial" w:hAnsi="Arial" w:cs="Arial"/>
          <w:b/>
          <w:bCs/>
          <w:noProof/>
          <w:color w:val="505050"/>
          <w:sz w:val="22"/>
          <w:szCs w:val="22"/>
        </w:rPr>
        <mc:AlternateContent>
          <mc:Choice Requires="wps">
            <w:drawing>
              <wp:anchor distT="0" distB="0" distL="114300" distR="114300" simplePos="0" relativeHeight="251792896" behindDoc="0" locked="0" layoutInCell="1" allowOverlap="1" wp14:anchorId="4431022E" wp14:editId="272D6D63">
                <wp:simplePos x="0" y="0"/>
                <wp:positionH relativeFrom="column">
                  <wp:posOffset>4553889</wp:posOffset>
                </wp:positionH>
                <wp:positionV relativeFrom="paragraph">
                  <wp:posOffset>70485</wp:posOffset>
                </wp:positionV>
                <wp:extent cx="2170430" cy="1728470"/>
                <wp:effectExtent l="0" t="0" r="0" b="5080"/>
                <wp:wrapNone/>
                <wp:docPr id="5314" name="Text Box 5314"/>
                <wp:cNvGraphicFramePr/>
                <a:graphic xmlns:a="http://schemas.openxmlformats.org/drawingml/2006/main">
                  <a:graphicData uri="http://schemas.microsoft.com/office/word/2010/wordprocessingShape">
                    <wps:wsp>
                      <wps:cNvSpPr txBox="1"/>
                      <wps:spPr>
                        <a:xfrm>
                          <a:off x="0" y="0"/>
                          <a:ext cx="2170430" cy="1728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80" w:rsidRDefault="00CE6E80" w:rsidP="00BB2729">
                            <w:r>
                              <w:rPr>
                                <w:noProof/>
                              </w:rPr>
                              <w:drawing>
                                <wp:inline distT="0" distB="0" distL="0" distR="0" wp14:anchorId="40A53E24" wp14:editId="1E4DD4BB">
                                  <wp:extent cx="1483360" cy="1630680"/>
                                  <wp:effectExtent l="0" t="0" r="2540" b="7620"/>
                                  <wp:docPr id="5316" name="Picture 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capitol.png"/>
                                          <pic:cNvPicPr/>
                                        </pic:nvPicPr>
                                        <pic:blipFill>
                                          <a:blip r:embed="rId56">
                                            <a:extLst>
                                              <a:ext uri="{28A0092B-C50C-407E-A947-70E740481C1C}">
                                                <a14:useLocalDpi xmlns:a14="http://schemas.microsoft.com/office/drawing/2010/main" val="0"/>
                                              </a:ext>
                                            </a:extLst>
                                          </a:blip>
                                          <a:stretch>
                                            <a:fillRect/>
                                          </a:stretch>
                                        </pic:blipFill>
                                        <pic:spPr>
                                          <a:xfrm>
                                            <a:off x="0" y="0"/>
                                            <a:ext cx="1483360" cy="16306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14" o:spid="_x0000_s1063" type="#_x0000_t202" style="position:absolute;margin-left:358.55pt;margin-top:5.55pt;width:170.9pt;height:136.1pt;z-index:25179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" filled="f" stroked="f" strokeweight=".5pt">
                <v:textbox>
                  <w:txbxContent>
                    <w:p w:rsidR="00CE6E80" w:rsidRDefault="00CE6E80" w:rsidP="00BB2729">
                      <w:r>
                        <w:rPr>
                          <w:noProof/>
                        </w:rPr>
                        <w:drawing>
                          <wp:inline distT="0" distB="0" distL="0" distR="0" wp14:anchorId="40A53E24" wp14:editId="1E4DD4BB">
                            <wp:extent cx="1483360" cy="1630680"/>
                            <wp:effectExtent l="0" t="0" r="2540" b="7620"/>
                            <wp:docPr id="5316" name="Picture 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capitol.png"/>
                                    <pic:cNvPicPr/>
                                  </pic:nvPicPr>
                                  <pic:blipFill>
                                    <a:blip r:embed="rId57">
                                      <a:extLst>
                                        <a:ext uri="{28A0092B-C50C-407E-A947-70E740481C1C}">
                                          <a14:useLocalDpi xmlns:a14="http://schemas.microsoft.com/office/drawing/2010/main" val="0"/>
                                        </a:ext>
                                      </a:extLst>
                                    </a:blip>
                                    <a:stretch>
                                      <a:fillRect/>
                                    </a:stretch>
                                  </pic:blipFill>
                                  <pic:spPr>
                                    <a:xfrm>
                                      <a:off x="0" y="0"/>
                                      <a:ext cx="1483360" cy="1630680"/>
                                    </a:xfrm>
                                    <a:prstGeom prst="rect">
                                      <a:avLst/>
                                    </a:prstGeom>
                                  </pic:spPr>
                                </pic:pic>
                              </a:graphicData>
                            </a:graphic>
                          </wp:inline>
                        </w:drawing>
                      </w:r>
                    </w:p>
                  </w:txbxContent>
                </v:textbox>
              </v:shape>
            </w:pict>
          </mc:Fallback>
        </mc:AlternateContent>
      </w:r>
      <w:r>
        <w:rPr>
          <w:rFonts w:ascii="Arial" w:hAnsi="Arial" w:cs="Arial"/>
          <w:b/>
          <w:bCs/>
          <w:noProof/>
          <w:color w:val="505050"/>
          <w:sz w:val="22"/>
          <w:szCs w:val="22"/>
        </w:rPr>
        <mc:AlternateContent>
          <mc:Choice Requires="wps">
            <w:drawing>
              <wp:anchor distT="0" distB="0" distL="114300" distR="114300" simplePos="0" relativeHeight="251788800" behindDoc="0" locked="0" layoutInCell="1" allowOverlap="1" wp14:anchorId="14CA3E2B" wp14:editId="2DBFAAE0">
                <wp:simplePos x="0" y="0"/>
                <wp:positionH relativeFrom="column">
                  <wp:posOffset>547039</wp:posOffset>
                </wp:positionH>
                <wp:positionV relativeFrom="paragraph">
                  <wp:posOffset>66675</wp:posOffset>
                </wp:positionV>
                <wp:extent cx="2170430" cy="1728470"/>
                <wp:effectExtent l="0" t="0" r="0" b="5080"/>
                <wp:wrapNone/>
                <wp:docPr id="58" name="Text Box 58"/>
                <wp:cNvGraphicFramePr/>
                <a:graphic xmlns:a="http://schemas.openxmlformats.org/drawingml/2006/main">
                  <a:graphicData uri="http://schemas.microsoft.com/office/word/2010/wordprocessingShape">
                    <wps:wsp>
                      <wps:cNvSpPr txBox="1"/>
                      <wps:spPr>
                        <a:xfrm>
                          <a:off x="0" y="0"/>
                          <a:ext cx="2170430" cy="1728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80" w:rsidRDefault="00CE6E80">
                            <w:r>
                              <w:rPr>
                                <w:noProof/>
                              </w:rPr>
                              <w:drawing>
                                <wp:inline distT="0" distB="0" distL="0" distR="0" wp14:anchorId="2AE6C1C2" wp14:editId="71A3EF50">
                                  <wp:extent cx="1483360" cy="1630680"/>
                                  <wp:effectExtent l="0" t="0" r="254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capitol.png"/>
                                          <pic:cNvPicPr/>
                                        </pic:nvPicPr>
                                        <pic:blipFill>
                                          <a:blip r:embed="rId57">
                                            <a:extLst>
                                              <a:ext uri="{28A0092B-C50C-407E-A947-70E740481C1C}">
                                                <a14:useLocalDpi xmlns:a14="http://schemas.microsoft.com/office/drawing/2010/main" val="0"/>
                                              </a:ext>
                                            </a:extLst>
                                          </a:blip>
                                          <a:stretch>
                                            <a:fillRect/>
                                          </a:stretch>
                                        </pic:blipFill>
                                        <pic:spPr>
                                          <a:xfrm>
                                            <a:off x="0" y="0"/>
                                            <a:ext cx="1483360" cy="16306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8" o:spid="_x0000_s1064" type="#_x0000_t202" style="position:absolute;margin-left:43.05pt;margin-top:5.25pt;width:170.9pt;height:136.1pt;z-index:25178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" filled="f" stroked="f" strokeweight=".5pt">
                <v:textbox>
                  <w:txbxContent>
                    <w:p w:rsidR="00CE6E80" w:rsidRDefault="00CE6E80">
                      <w:r>
                        <w:rPr>
                          <w:noProof/>
                        </w:rPr>
                        <w:drawing>
                          <wp:inline distT="0" distB="0" distL="0" distR="0" wp14:anchorId="2AE6C1C2" wp14:editId="71A3EF50">
                            <wp:extent cx="1483360" cy="1630680"/>
                            <wp:effectExtent l="0" t="0" r="254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capitol.png"/>
                                    <pic:cNvPicPr/>
                                  </pic:nvPicPr>
                                  <pic:blipFill>
                                    <a:blip r:embed="rId57">
                                      <a:extLst>
                                        <a:ext uri="{28A0092B-C50C-407E-A947-70E740481C1C}">
                                          <a14:useLocalDpi xmlns:a14="http://schemas.microsoft.com/office/drawing/2010/main" val="0"/>
                                        </a:ext>
                                      </a:extLst>
                                    </a:blip>
                                    <a:stretch>
                                      <a:fillRect/>
                                    </a:stretch>
                                  </pic:blipFill>
                                  <pic:spPr>
                                    <a:xfrm>
                                      <a:off x="0" y="0"/>
                                      <a:ext cx="1483360" cy="1630680"/>
                                    </a:xfrm>
                                    <a:prstGeom prst="rect">
                                      <a:avLst/>
                                    </a:prstGeom>
                                  </pic:spPr>
                                </pic:pic>
                              </a:graphicData>
                            </a:graphic>
                          </wp:inline>
                        </w:drawing>
                      </w:r>
                    </w:p>
                  </w:txbxContent>
                </v:textbox>
              </v:shape>
            </w:pict>
          </mc:Fallback>
        </mc:AlternateContent>
      </w:r>
      <w:r>
        <w:rPr>
          <w:rFonts w:ascii="Arial" w:hAnsi="Arial" w:cs="Arial"/>
          <w:b/>
          <w:bCs/>
          <w:noProof/>
          <w:color w:val="505050"/>
          <w:sz w:val="22"/>
          <w:szCs w:val="22"/>
        </w:rPr>
        <mc:AlternateContent>
          <mc:Choice Requires="wps">
            <w:drawing>
              <wp:anchor distT="0" distB="0" distL="114300" distR="114300" simplePos="0" relativeHeight="251790848" behindDoc="0" locked="0" layoutInCell="1" allowOverlap="1" wp14:anchorId="2D0B1025" wp14:editId="1C771AD5">
                <wp:simplePos x="0" y="0"/>
                <wp:positionH relativeFrom="column">
                  <wp:posOffset>2513440</wp:posOffset>
                </wp:positionH>
                <wp:positionV relativeFrom="paragraph">
                  <wp:posOffset>70485</wp:posOffset>
                </wp:positionV>
                <wp:extent cx="2170430" cy="1728470"/>
                <wp:effectExtent l="0" t="0" r="0" b="5080"/>
                <wp:wrapNone/>
                <wp:docPr id="5312" name="Text Box 5312"/>
                <wp:cNvGraphicFramePr/>
                <a:graphic xmlns:a="http://schemas.openxmlformats.org/drawingml/2006/main">
                  <a:graphicData uri="http://schemas.microsoft.com/office/word/2010/wordprocessingShape">
                    <wps:wsp>
                      <wps:cNvSpPr txBox="1"/>
                      <wps:spPr>
                        <a:xfrm>
                          <a:off x="0" y="0"/>
                          <a:ext cx="2170430" cy="1728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80" w:rsidRDefault="00CE6E80" w:rsidP="00BB2729">
                            <w:r>
                              <w:rPr>
                                <w:noProof/>
                              </w:rPr>
                              <w:drawing>
                                <wp:inline distT="0" distB="0" distL="0" distR="0" wp14:anchorId="3920C6F9" wp14:editId="397E227D">
                                  <wp:extent cx="1483360" cy="1630680"/>
                                  <wp:effectExtent l="0" t="0" r="2540" b="7620"/>
                                  <wp:docPr id="5313" name="Picture 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capitol.png"/>
                                          <pic:cNvPicPr/>
                                        </pic:nvPicPr>
                                        <pic:blipFill>
                                          <a:blip r:embed="rId57">
                                            <a:extLst>
                                              <a:ext uri="{28A0092B-C50C-407E-A947-70E740481C1C}">
                                                <a14:useLocalDpi xmlns:a14="http://schemas.microsoft.com/office/drawing/2010/main" val="0"/>
                                              </a:ext>
                                            </a:extLst>
                                          </a:blip>
                                          <a:stretch>
                                            <a:fillRect/>
                                          </a:stretch>
                                        </pic:blipFill>
                                        <pic:spPr>
                                          <a:xfrm>
                                            <a:off x="0" y="0"/>
                                            <a:ext cx="1483360" cy="16306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12" o:spid="_x0000_s1065" type="#_x0000_t202" style="position:absolute;margin-left:197.9pt;margin-top:5.55pt;width:170.9pt;height:136.1pt;z-index:25179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" filled="f" stroked="f" strokeweight=".5pt">
                <v:textbox>
                  <w:txbxContent>
                    <w:p w:rsidR="00CE6E80" w:rsidRDefault="00CE6E80" w:rsidP="00BB2729">
                      <w:r>
                        <w:rPr>
                          <w:noProof/>
                        </w:rPr>
                        <w:drawing>
                          <wp:inline distT="0" distB="0" distL="0" distR="0" wp14:anchorId="3920C6F9" wp14:editId="397E227D">
                            <wp:extent cx="1483360" cy="1630680"/>
                            <wp:effectExtent l="0" t="0" r="2540" b="7620"/>
                            <wp:docPr id="5313" name="Picture 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capitol.png"/>
                                    <pic:cNvPicPr/>
                                  </pic:nvPicPr>
                                  <pic:blipFill>
                                    <a:blip r:embed="rId57">
                                      <a:extLst>
                                        <a:ext uri="{28A0092B-C50C-407E-A947-70E740481C1C}">
                                          <a14:useLocalDpi xmlns:a14="http://schemas.microsoft.com/office/drawing/2010/main" val="0"/>
                                        </a:ext>
                                      </a:extLst>
                                    </a:blip>
                                    <a:stretch>
                                      <a:fillRect/>
                                    </a:stretch>
                                  </pic:blipFill>
                                  <pic:spPr>
                                    <a:xfrm>
                                      <a:off x="0" y="0"/>
                                      <a:ext cx="1483360" cy="1630680"/>
                                    </a:xfrm>
                                    <a:prstGeom prst="rect">
                                      <a:avLst/>
                                    </a:prstGeom>
                                  </pic:spPr>
                                </pic:pic>
                              </a:graphicData>
                            </a:graphic>
                          </wp:inline>
                        </w:drawing>
                      </w:r>
                    </w:p>
                  </w:txbxContent>
                </v:textbox>
              </v:shape>
            </w:pict>
          </mc:Fallback>
        </mc:AlternateContent>
      </w:r>
    </w:p>
    <w:p w:rsidR="00B11DD0" w:rsidRDefault="00B11DD0" w:rsidP="00D02D79">
      <w:pPr>
        <w:pStyle w:val="NormalWeb"/>
        <w:rPr>
          <w:rFonts w:ascii="Arial" w:hAnsi="Arial" w:cs="Arial"/>
          <w:b/>
          <w:bCs/>
          <w:color w:val="505050"/>
          <w:sz w:val="22"/>
          <w:szCs w:val="22"/>
        </w:rPr>
      </w:pPr>
    </w:p>
    <w:p w:rsidR="00B11DD0" w:rsidRDefault="00B11DD0" w:rsidP="00D02D79">
      <w:pPr>
        <w:pStyle w:val="NormalWeb"/>
        <w:rPr>
          <w:rFonts w:ascii="Arial" w:hAnsi="Arial" w:cs="Arial"/>
          <w:b/>
          <w:bCs/>
          <w:color w:val="505050"/>
          <w:sz w:val="22"/>
          <w:szCs w:val="22"/>
        </w:rPr>
      </w:pPr>
    </w:p>
    <w:p w:rsidR="00B11DD0" w:rsidRDefault="00B11DD0" w:rsidP="00D02D79">
      <w:pPr>
        <w:pStyle w:val="NormalWeb"/>
        <w:rPr>
          <w:rFonts w:ascii="Arial" w:hAnsi="Arial" w:cs="Arial"/>
          <w:b/>
          <w:bCs/>
          <w:color w:val="505050"/>
          <w:sz w:val="22"/>
          <w:szCs w:val="22"/>
        </w:rPr>
      </w:pPr>
    </w:p>
    <w:p w:rsidR="00B11DD0" w:rsidRDefault="00B11DD0" w:rsidP="00D02D79">
      <w:pPr>
        <w:pStyle w:val="NormalWeb"/>
        <w:rPr>
          <w:rFonts w:ascii="Arial" w:hAnsi="Arial" w:cs="Arial"/>
          <w:b/>
          <w:bCs/>
          <w:color w:val="505050"/>
          <w:sz w:val="22"/>
          <w:szCs w:val="22"/>
        </w:rPr>
      </w:pPr>
    </w:p>
    <w:p w:rsidR="00B11DD0" w:rsidRDefault="00B11DD0" w:rsidP="00D02D79">
      <w:pPr>
        <w:pStyle w:val="NormalWeb"/>
        <w:rPr>
          <w:rFonts w:ascii="Arial" w:hAnsi="Arial" w:cs="Arial"/>
          <w:b/>
          <w:bCs/>
          <w:color w:val="505050"/>
          <w:sz w:val="22"/>
          <w:szCs w:val="22"/>
        </w:rPr>
      </w:pPr>
    </w:p>
    <w:p w:rsidR="00B11DD0" w:rsidRDefault="00B11DD0" w:rsidP="00B11DD0">
      <w:pPr>
        <w:pStyle w:val="NormalWeb"/>
        <w:jc w:val="both"/>
        <w:rPr>
          <w:rFonts w:ascii="Arial" w:hAnsi="Arial" w:cs="Arial"/>
          <w:b/>
          <w:color w:val="000000" w:themeColor="text1"/>
          <w:sz w:val="20"/>
          <w:szCs w:val="20"/>
        </w:rPr>
      </w:pPr>
    </w:p>
    <w:p w:rsidR="00B11DD0" w:rsidRDefault="00B11DD0" w:rsidP="00B11DD0">
      <w:pPr>
        <w:pStyle w:val="NormalWeb"/>
        <w:jc w:val="both"/>
        <w:rPr>
          <w:rFonts w:ascii="Arial" w:hAnsi="Arial" w:cs="Arial"/>
          <w:b/>
          <w:color w:val="000000" w:themeColor="text1"/>
          <w:sz w:val="20"/>
          <w:szCs w:val="20"/>
        </w:rPr>
      </w:pPr>
    </w:p>
    <w:p w:rsidR="00B11DD0" w:rsidRDefault="00B11DD0" w:rsidP="00B11DD0">
      <w:pPr>
        <w:pStyle w:val="NormalWeb"/>
        <w:jc w:val="both"/>
        <w:rPr>
          <w:rFonts w:ascii="Arial" w:hAnsi="Arial" w:cs="Arial"/>
          <w:b/>
          <w:color w:val="000000" w:themeColor="text1"/>
          <w:sz w:val="20"/>
          <w:szCs w:val="20"/>
        </w:rPr>
      </w:pPr>
    </w:p>
    <w:p w:rsidR="00B11DD0" w:rsidRDefault="00B11DD0" w:rsidP="00B11DD0">
      <w:pPr>
        <w:pStyle w:val="NormalWeb"/>
        <w:jc w:val="both"/>
        <w:rPr>
          <w:rFonts w:ascii="Arial" w:hAnsi="Arial" w:cs="Arial"/>
          <w:b/>
          <w:color w:val="000000" w:themeColor="text1"/>
          <w:sz w:val="20"/>
          <w:szCs w:val="20"/>
        </w:rPr>
      </w:pPr>
    </w:p>
    <w:p w:rsidR="00B11DD0" w:rsidRDefault="00B11DD0" w:rsidP="00B11DD0">
      <w:pPr>
        <w:pStyle w:val="NormalWeb"/>
        <w:jc w:val="both"/>
        <w:rPr>
          <w:rFonts w:ascii="Arial" w:hAnsi="Arial" w:cs="Arial"/>
          <w:b/>
          <w:color w:val="000000" w:themeColor="text1"/>
          <w:sz w:val="20"/>
          <w:szCs w:val="20"/>
        </w:rPr>
      </w:pPr>
    </w:p>
    <w:p w:rsidR="005A69EC" w:rsidRDefault="005A69EC" w:rsidP="00B11DD0">
      <w:pPr>
        <w:pStyle w:val="NormalWeb"/>
        <w:jc w:val="both"/>
        <w:rPr>
          <w:rFonts w:ascii="Arial" w:hAnsi="Arial" w:cs="Arial"/>
          <w:b/>
          <w:color w:val="000000" w:themeColor="text1"/>
          <w:sz w:val="20"/>
          <w:szCs w:val="20"/>
        </w:rPr>
      </w:pPr>
    </w:p>
    <w:p w:rsidR="005A69EC" w:rsidRPr="005A69EC" w:rsidRDefault="005A69EC" w:rsidP="000730A4">
      <w:pPr>
        <w:spacing w:after="120" w:line="288" w:lineRule="auto"/>
        <w:jc w:val="both"/>
        <w:rPr>
          <w:rFonts w:ascii="Arial" w:hAnsi="Arial" w:cs="Arial"/>
          <w:sz w:val="20"/>
          <w:szCs w:val="19"/>
        </w:rPr>
      </w:pPr>
      <w:r w:rsidRPr="005A69EC">
        <w:rPr>
          <w:rFonts w:ascii="Arial" w:hAnsi="Arial" w:cs="Arial"/>
          <w:sz w:val="20"/>
          <w:szCs w:val="19"/>
        </w:rPr>
        <w:t>ORA maintains a full-time presence in Sacramento, actively participating in the Legislative and Budget processes by working directly with the Governor’s office, Legislature, Department of Finance, Legislative Analyst’s Office, and other related entities. In 201</w:t>
      </w:r>
      <w:r w:rsidR="001707A9">
        <w:rPr>
          <w:rFonts w:ascii="Arial" w:hAnsi="Arial" w:cs="Arial"/>
          <w:sz w:val="20"/>
          <w:szCs w:val="19"/>
        </w:rPr>
        <w:t>5</w:t>
      </w:r>
      <w:r w:rsidRPr="005A69EC">
        <w:rPr>
          <w:rFonts w:ascii="Arial" w:hAnsi="Arial" w:cs="Arial"/>
          <w:sz w:val="20"/>
          <w:szCs w:val="19"/>
        </w:rPr>
        <w:t>, ORA worked directly with Member offices and testified on many public utilities bills. ORA achieves its statutory mission to represent the customers of investor</w:t>
      </w:r>
      <w:r w:rsidR="0063684D">
        <w:rPr>
          <w:rFonts w:ascii="Arial" w:hAnsi="Arial" w:cs="Arial"/>
          <w:sz w:val="20"/>
          <w:szCs w:val="19"/>
        </w:rPr>
        <w:t xml:space="preserve"> </w:t>
      </w:r>
      <w:r w:rsidRPr="005A69EC">
        <w:rPr>
          <w:rFonts w:ascii="Arial" w:hAnsi="Arial" w:cs="Arial"/>
          <w:sz w:val="20"/>
          <w:szCs w:val="19"/>
        </w:rPr>
        <w:t>owned utilities for energy, natural gas, water, and communications in Sacramento by:</w:t>
      </w:r>
    </w:p>
    <w:p w:rsidR="005A69EC" w:rsidRPr="005A69EC" w:rsidRDefault="005A69EC" w:rsidP="00635404">
      <w:pPr>
        <w:numPr>
          <w:ilvl w:val="0"/>
          <w:numId w:val="47"/>
        </w:numPr>
        <w:spacing w:after="120" w:line="288" w:lineRule="auto"/>
        <w:rPr>
          <w:rFonts w:ascii="Arial" w:hAnsi="Arial" w:cs="Arial"/>
          <w:sz w:val="20"/>
          <w:szCs w:val="19"/>
        </w:rPr>
      </w:pPr>
      <w:r w:rsidRPr="005A69EC">
        <w:rPr>
          <w:rFonts w:ascii="Arial" w:hAnsi="Arial" w:cs="Arial"/>
          <w:sz w:val="20"/>
          <w:szCs w:val="19"/>
        </w:rPr>
        <w:t xml:space="preserve">Taking positions on bills. </w:t>
      </w:r>
    </w:p>
    <w:p w:rsidR="005A69EC" w:rsidRPr="005A69EC" w:rsidRDefault="005A69EC" w:rsidP="00635404">
      <w:pPr>
        <w:numPr>
          <w:ilvl w:val="0"/>
          <w:numId w:val="47"/>
        </w:numPr>
        <w:spacing w:after="120" w:line="288" w:lineRule="auto"/>
        <w:rPr>
          <w:rFonts w:ascii="Arial" w:hAnsi="Arial" w:cs="Arial"/>
          <w:sz w:val="20"/>
          <w:szCs w:val="19"/>
        </w:rPr>
      </w:pPr>
      <w:r w:rsidRPr="005A69EC">
        <w:rPr>
          <w:rFonts w:ascii="Arial" w:hAnsi="Arial" w:cs="Arial"/>
          <w:sz w:val="20"/>
          <w:szCs w:val="19"/>
        </w:rPr>
        <w:t>Testifying in informational and bill hearings.</w:t>
      </w:r>
    </w:p>
    <w:p w:rsidR="005A69EC" w:rsidRPr="005A69EC" w:rsidRDefault="005A69EC" w:rsidP="00635404">
      <w:pPr>
        <w:numPr>
          <w:ilvl w:val="0"/>
          <w:numId w:val="47"/>
        </w:numPr>
        <w:spacing w:after="120" w:line="288" w:lineRule="auto"/>
        <w:rPr>
          <w:rFonts w:ascii="Arial" w:hAnsi="Arial" w:cs="Arial"/>
          <w:sz w:val="20"/>
          <w:szCs w:val="19"/>
        </w:rPr>
      </w:pPr>
      <w:r w:rsidRPr="005A69EC">
        <w:rPr>
          <w:rFonts w:ascii="Arial" w:hAnsi="Arial" w:cs="Arial"/>
          <w:sz w:val="20"/>
          <w:szCs w:val="19"/>
        </w:rPr>
        <w:t>Providing technical legislative and constituent assistance.</w:t>
      </w:r>
    </w:p>
    <w:p w:rsidR="005A69EC" w:rsidRPr="005A69EC" w:rsidRDefault="005A69EC" w:rsidP="00635404">
      <w:pPr>
        <w:numPr>
          <w:ilvl w:val="0"/>
          <w:numId w:val="47"/>
        </w:numPr>
        <w:spacing w:after="120" w:line="288" w:lineRule="auto"/>
        <w:rPr>
          <w:rFonts w:ascii="Arial" w:hAnsi="Arial" w:cs="Arial"/>
          <w:sz w:val="20"/>
          <w:szCs w:val="19"/>
        </w:rPr>
      </w:pPr>
      <w:r w:rsidRPr="005A69EC">
        <w:rPr>
          <w:rFonts w:ascii="Arial" w:hAnsi="Arial" w:cs="Arial"/>
          <w:sz w:val="20"/>
          <w:szCs w:val="19"/>
        </w:rPr>
        <w:t>Participating in working groups.</w:t>
      </w:r>
    </w:p>
    <w:p w:rsidR="005A69EC" w:rsidRPr="005A69EC" w:rsidRDefault="005A69EC" w:rsidP="00635404">
      <w:pPr>
        <w:numPr>
          <w:ilvl w:val="0"/>
          <w:numId w:val="47"/>
        </w:numPr>
        <w:spacing w:after="120" w:line="288" w:lineRule="auto"/>
        <w:rPr>
          <w:rFonts w:ascii="Arial" w:hAnsi="Arial" w:cs="Arial"/>
          <w:sz w:val="20"/>
          <w:szCs w:val="19"/>
        </w:rPr>
      </w:pPr>
      <w:r w:rsidRPr="005A69EC">
        <w:rPr>
          <w:rFonts w:ascii="Arial" w:hAnsi="Arial" w:cs="Arial"/>
          <w:sz w:val="20"/>
          <w:szCs w:val="19"/>
        </w:rPr>
        <w:t>Providing updates on CPUC and ORA actions.</w:t>
      </w:r>
    </w:p>
    <w:p w:rsidR="005A69EC" w:rsidRDefault="005A69EC" w:rsidP="00B11DD0">
      <w:pPr>
        <w:pStyle w:val="NormalWeb"/>
        <w:jc w:val="both"/>
        <w:rPr>
          <w:rFonts w:ascii="Arial" w:hAnsi="Arial" w:cs="Arial"/>
          <w:b/>
          <w:color w:val="000000" w:themeColor="text1"/>
          <w:sz w:val="20"/>
          <w:szCs w:val="20"/>
        </w:rPr>
      </w:pPr>
    </w:p>
    <w:p w:rsidR="00B11DD0" w:rsidRPr="002A2D6B" w:rsidRDefault="002A2D6B" w:rsidP="002A2D6B">
      <w:pPr>
        <w:pStyle w:val="NormalWeb"/>
        <w:spacing w:before="120"/>
        <w:jc w:val="both"/>
        <w:rPr>
          <w:rFonts w:ascii="Arial Black" w:hAnsi="Arial Black" w:cs="Arial"/>
          <w:b/>
          <w:color w:val="4F81BD" w:themeColor="accent1"/>
          <w:szCs w:val="20"/>
        </w:rPr>
      </w:pPr>
      <w:r w:rsidRPr="002A2D6B">
        <w:rPr>
          <w:rFonts w:ascii="Arial Black" w:hAnsi="Arial Black" w:cs="Arial"/>
          <w:b/>
          <w:color w:val="4F81BD" w:themeColor="accent1"/>
          <w:szCs w:val="20"/>
        </w:rPr>
        <w:t>ENERGY</w:t>
      </w:r>
    </w:p>
    <w:p w:rsidR="00B11DD0" w:rsidRDefault="00B11DD0" w:rsidP="00B11DD0">
      <w:pPr>
        <w:pStyle w:val="NormalWeb"/>
        <w:jc w:val="both"/>
        <w:rPr>
          <w:rFonts w:ascii="Arial" w:hAnsi="Arial" w:cs="Arial"/>
          <w:b/>
          <w:color w:val="000000" w:themeColor="text1"/>
          <w:sz w:val="20"/>
          <w:szCs w:val="20"/>
        </w:rPr>
      </w:pPr>
    </w:p>
    <w:p w:rsidR="005A69EC" w:rsidRPr="005A69EC" w:rsidRDefault="005A69EC" w:rsidP="00B11DD0">
      <w:pPr>
        <w:pStyle w:val="NormalWeb"/>
        <w:jc w:val="both"/>
        <w:rPr>
          <w:rFonts w:ascii="Arial Black" w:hAnsi="Arial Black" w:cs="Arial"/>
          <w:b/>
          <w:color w:val="000000" w:themeColor="text1"/>
          <w:sz w:val="20"/>
          <w:szCs w:val="20"/>
          <w:u w:val="single"/>
        </w:rPr>
      </w:pPr>
      <w:r w:rsidRPr="005A69EC">
        <w:rPr>
          <w:rFonts w:ascii="Arial Black" w:hAnsi="Arial Black" w:cs="Arial"/>
          <w:b/>
          <w:color w:val="000000" w:themeColor="text1"/>
          <w:sz w:val="20"/>
          <w:szCs w:val="20"/>
          <w:u w:val="single"/>
        </w:rPr>
        <w:t xml:space="preserve">Assembly Bills </w:t>
      </w:r>
    </w:p>
    <w:p w:rsidR="005A69EC" w:rsidRDefault="005A69EC" w:rsidP="00B11DD0">
      <w:pPr>
        <w:pStyle w:val="NormalWeb"/>
        <w:jc w:val="both"/>
        <w:rPr>
          <w:rFonts w:ascii="Arial" w:hAnsi="Arial" w:cs="Arial"/>
          <w:b/>
          <w:color w:val="000000" w:themeColor="text1"/>
          <w:sz w:val="20"/>
          <w:szCs w:val="20"/>
        </w:rPr>
      </w:pPr>
    </w:p>
    <w:p w:rsidR="00D02D79" w:rsidRPr="00B11DD0" w:rsidRDefault="00D02D79" w:rsidP="00B11DD0">
      <w:pPr>
        <w:pStyle w:val="NormalWeb"/>
        <w:jc w:val="both"/>
        <w:rPr>
          <w:rFonts w:ascii="Arial" w:hAnsi="Arial" w:cs="Arial"/>
          <w:color w:val="000000" w:themeColor="text1"/>
          <w:sz w:val="20"/>
          <w:szCs w:val="20"/>
        </w:rPr>
      </w:pPr>
      <w:r w:rsidRPr="00B11DD0">
        <w:rPr>
          <w:rFonts w:ascii="Arial" w:hAnsi="Arial" w:cs="Arial"/>
          <w:b/>
          <w:color w:val="000000" w:themeColor="text1"/>
          <w:sz w:val="20"/>
          <w:szCs w:val="20"/>
        </w:rPr>
        <w:t>AB 645</w:t>
      </w:r>
      <w:r w:rsidRPr="00B11DD0">
        <w:rPr>
          <w:rFonts w:ascii="Arial" w:hAnsi="Arial" w:cs="Arial"/>
          <w:b/>
          <w:bCs/>
          <w:color w:val="000000" w:themeColor="text1"/>
          <w:sz w:val="20"/>
          <w:szCs w:val="20"/>
        </w:rPr>
        <w:t xml:space="preserve"> (Williams, Rendon)</w:t>
      </w:r>
      <w:r w:rsidR="00B11DD0">
        <w:rPr>
          <w:rFonts w:ascii="Arial" w:hAnsi="Arial" w:cs="Arial"/>
          <w:b/>
          <w:bCs/>
          <w:color w:val="000000" w:themeColor="text1"/>
          <w:sz w:val="20"/>
          <w:szCs w:val="20"/>
        </w:rPr>
        <w:t xml:space="preserve"> </w:t>
      </w:r>
      <w:r w:rsidRPr="00B11DD0">
        <w:rPr>
          <w:rFonts w:ascii="Arial" w:hAnsi="Arial" w:cs="Arial"/>
          <w:color w:val="000000" w:themeColor="text1"/>
          <w:sz w:val="20"/>
          <w:szCs w:val="20"/>
        </w:rPr>
        <w:t xml:space="preserve">- would </w:t>
      </w:r>
      <w:r w:rsidR="001F047E">
        <w:rPr>
          <w:rFonts w:ascii="Arial" w:hAnsi="Arial" w:cs="Arial"/>
          <w:color w:val="000000" w:themeColor="text1"/>
          <w:sz w:val="20"/>
          <w:szCs w:val="20"/>
        </w:rPr>
        <w:t xml:space="preserve">have </w:t>
      </w:r>
      <w:r w:rsidRPr="00B11DD0">
        <w:rPr>
          <w:rFonts w:ascii="Arial" w:hAnsi="Arial" w:cs="Arial"/>
          <w:color w:val="000000" w:themeColor="text1"/>
          <w:sz w:val="20"/>
          <w:szCs w:val="20"/>
        </w:rPr>
        <w:t xml:space="preserve">set incremental renewable procurement targets in years 2023, 2026, and 2030. </w:t>
      </w:r>
      <w:r w:rsidRPr="00B11DD0">
        <w:rPr>
          <w:rFonts w:ascii="Arial" w:hAnsi="Arial" w:cs="Arial"/>
          <w:color w:val="000000" w:themeColor="text1"/>
          <w:sz w:val="20"/>
          <w:szCs w:val="20"/>
        </w:rPr>
        <w:br/>
        <w:t> </w:t>
      </w:r>
    </w:p>
    <w:p w:rsidR="00D02D79" w:rsidRPr="00B11DD0" w:rsidRDefault="00D02D79" w:rsidP="00B11DD0">
      <w:pPr>
        <w:pStyle w:val="NormalWeb"/>
        <w:jc w:val="both"/>
        <w:rPr>
          <w:rFonts w:ascii="Arial" w:hAnsi="Arial" w:cs="Arial"/>
          <w:color w:val="000000" w:themeColor="text1"/>
          <w:sz w:val="20"/>
          <w:szCs w:val="20"/>
        </w:rPr>
      </w:pPr>
      <w:r w:rsidRPr="00B11DD0">
        <w:rPr>
          <w:rStyle w:val="Strong"/>
          <w:rFonts w:ascii="Arial" w:hAnsi="Arial" w:cs="Arial"/>
          <w:color w:val="000000" w:themeColor="text1"/>
          <w:sz w:val="20"/>
          <w:szCs w:val="20"/>
        </w:rPr>
        <w:t>AB 674 (Mullin) -  </w:t>
      </w:r>
      <w:r w:rsidRPr="00B11DD0">
        <w:rPr>
          <w:rFonts w:ascii="Arial" w:hAnsi="Arial" w:cs="Arial"/>
          <w:color w:val="000000" w:themeColor="text1"/>
          <w:sz w:val="20"/>
          <w:szCs w:val="20"/>
        </w:rPr>
        <w:t xml:space="preserve">would </w:t>
      </w:r>
      <w:r w:rsidR="00C22F20">
        <w:rPr>
          <w:rFonts w:ascii="Arial" w:hAnsi="Arial" w:cs="Arial"/>
          <w:color w:val="000000" w:themeColor="text1"/>
          <w:sz w:val="20"/>
          <w:szCs w:val="20"/>
        </w:rPr>
        <w:t xml:space="preserve">have </w:t>
      </w:r>
      <w:r w:rsidRPr="00B11DD0">
        <w:rPr>
          <w:rFonts w:ascii="Arial" w:hAnsi="Arial" w:cs="Arial"/>
          <w:color w:val="000000" w:themeColor="text1"/>
          <w:sz w:val="20"/>
          <w:szCs w:val="20"/>
        </w:rPr>
        <w:t>exempt</w:t>
      </w:r>
      <w:r w:rsidR="00C22F20">
        <w:rPr>
          <w:rFonts w:ascii="Arial" w:hAnsi="Arial" w:cs="Arial"/>
          <w:color w:val="000000" w:themeColor="text1"/>
          <w:sz w:val="20"/>
          <w:szCs w:val="20"/>
        </w:rPr>
        <w:t>ed</w:t>
      </w:r>
      <w:r w:rsidRPr="00B11DD0">
        <w:rPr>
          <w:rFonts w:ascii="Arial" w:hAnsi="Arial" w:cs="Arial"/>
          <w:color w:val="000000" w:themeColor="text1"/>
          <w:sz w:val="20"/>
          <w:szCs w:val="20"/>
        </w:rPr>
        <w:t xml:space="preserve"> large utility customers using on-site distributed generation from certain non-bypassable charges.   </w:t>
      </w:r>
    </w:p>
    <w:p w:rsidR="00D02D79" w:rsidRPr="00B11DD0" w:rsidRDefault="00D02D79" w:rsidP="00B11DD0">
      <w:pPr>
        <w:pStyle w:val="NormalWeb"/>
        <w:jc w:val="both"/>
        <w:rPr>
          <w:rFonts w:ascii="Arial" w:hAnsi="Arial" w:cs="Arial"/>
          <w:color w:val="000000" w:themeColor="text1"/>
          <w:sz w:val="20"/>
          <w:szCs w:val="20"/>
        </w:rPr>
      </w:pPr>
      <w:r w:rsidRPr="00B11DD0">
        <w:rPr>
          <w:rFonts w:ascii="Arial" w:hAnsi="Arial" w:cs="Arial"/>
          <w:color w:val="000000" w:themeColor="text1"/>
          <w:sz w:val="20"/>
          <w:szCs w:val="20"/>
        </w:rPr>
        <w:t>  </w:t>
      </w:r>
    </w:p>
    <w:p w:rsidR="00D02D79" w:rsidRPr="00B11DD0" w:rsidRDefault="00D02D79" w:rsidP="00B11DD0">
      <w:pPr>
        <w:pStyle w:val="NormalWeb"/>
        <w:jc w:val="both"/>
        <w:rPr>
          <w:rFonts w:ascii="Arial" w:hAnsi="Arial" w:cs="Arial"/>
          <w:color w:val="000000" w:themeColor="text1"/>
          <w:sz w:val="20"/>
          <w:szCs w:val="20"/>
        </w:rPr>
      </w:pPr>
      <w:r w:rsidRPr="00B11DD0">
        <w:rPr>
          <w:rStyle w:val="Strong"/>
          <w:rFonts w:ascii="Arial" w:hAnsi="Arial" w:cs="Arial"/>
          <w:color w:val="000000" w:themeColor="text1"/>
          <w:sz w:val="20"/>
          <w:szCs w:val="20"/>
        </w:rPr>
        <w:t xml:space="preserve">AB 793 (Quirk) </w:t>
      </w:r>
      <w:r w:rsidR="00B11DD0" w:rsidRPr="00B11DD0">
        <w:rPr>
          <w:rStyle w:val="Strong"/>
          <w:rFonts w:ascii="Arial" w:hAnsi="Arial" w:cs="Arial"/>
          <w:color w:val="000000" w:themeColor="text1"/>
          <w:sz w:val="20"/>
          <w:szCs w:val="20"/>
        </w:rPr>
        <w:t xml:space="preserve">- </w:t>
      </w:r>
      <w:r w:rsidR="00C465B1">
        <w:rPr>
          <w:rFonts w:ascii="Arial" w:hAnsi="Arial" w:cs="Arial"/>
          <w:color w:val="000000" w:themeColor="text1"/>
          <w:sz w:val="20"/>
          <w:szCs w:val="20"/>
        </w:rPr>
        <w:t xml:space="preserve"> </w:t>
      </w:r>
      <w:r w:rsidRPr="00B11DD0">
        <w:rPr>
          <w:rFonts w:ascii="Arial" w:hAnsi="Arial" w:cs="Arial"/>
          <w:color w:val="000000" w:themeColor="text1"/>
          <w:sz w:val="20"/>
          <w:szCs w:val="20"/>
        </w:rPr>
        <w:t>require</w:t>
      </w:r>
      <w:r w:rsidR="00C465B1">
        <w:rPr>
          <w:rFonts w:ascii="Arial" w:hAnsi="Arial" w:cs="Arial"/>
          <w:color w:val="000000" w:themeColor="text1"/>
          <w:sz w:val="20"/>
          <w:szCs w:val="20"/>
        </w:rPr>
        <w:t>s</w:t>
      </w:r>
      <w:r w:rsidRPr="00B11DD0">
        <w:rPr>
          <w:rFonts w:ascii="Arial" w:hAnsi="Arial" w:cs="Arial"/>
          <w:color w:val="000000" w:themeColor="text1"/>
          <w:sz w:val="20"/>
          <w:szCs w:val="20"/>
        </w:rPr>
        <w:t xml:space="preserve"> the CPUC to promote customer adoption of in-home energy management solutions using advanced meter data. </w:t>
      </w:r>
    </w:p>
    <w:p w:rsidR="00D02D79" w:rsidRPr="00B11DD0" w:rsidRDefault="00D02D79" w:rsidP="00B11DD0">
      <w:pPr>
        <w:pStyle w:val="NormalWeb"/>
        <w:jc w:val="both"/>
        <w:rPr>
          <w:rFonts w:ascii="Arial" w:hAnsi="Arial" w:cs="Arial"/>
          <w:color w:val="000000" w:themeColor="text1"/>
          <w:sz w:val="20"/>
          <w:szCs w:val="20"/>
        </w:rPr>
      </w:pPr>
      <w:r w:rsidRPr="00B11DD0">
        <w:rPr>
          <w:rFonts w:ascii="Arial" w:hAnsi="Arial" w:cs="Arial"/>
          <w:color w:val="000000" w:themeColor="text1"/>
          <w:sz w:val="20"/>
          <w:szCs w:val="20"/>
        </w:rPr>
        <w:t> </w:t>
      </w:r>
    </w:p>
    <w:p w:rsidR="00D02D79" w:rsidRPr="00B11DD0" w:rsidRDefault="00D02D79" w:rsidP="00B11DD0">
      <w:pPr>
        <w:pStyle w:val="NormalWeb"/>
        <w:jc w:val="both"/>
        <w:rPr>
          <w:rFonts w:ascii="Arial" w:hAnsi="Arial" w:cs="Arial"/>
          <w:color w:val="000000" w:themeColor="text1"/>
          <w:sz w:val="20"/>
          <w:szCs w:val="20"/>
        </w:rPr>
      </w:pPr>
      <w:r w:rsidRPr="00B11DD0">
        <w:rPr>
          <w:rFonts w:ascii="Arial" w:hAnsi="Arial" w:cs="Arial"/>
          <w:b/>
          <w:color w:val="000000" w:themeColor="text1"/>
          <w:sz w:val="20"/>
          <w:szCs w:val="20"/>
        </w:rPr>
        <w:t>AB 895</w:t>
      </w:r>
      <w:r w:rsidRPr="00B11DD0">
        <w:rPr>
          <w:rFonts w:ascii="Arial" w:hAnsi="Arial" w:cs="Arial"/>
          <w:b/>
          <w:bCs/>
          <w:color w:val="000000" w:themeColor="text1"/>
          <w:sz w:val="20"/>
          <w:szCs w:val="20"/>
        </w:rPr>
        <w:t xml:space="preserve"> (Rendon)</w:t>
      </w:r>
      <w:r w:rsidRPr="00B11DD0">
        <w:rPr>
          <w:rFonts w:ascii="Arial" w:hAnsi="Arial" w:cs="Arial"/>
          <w:color w:val="000000" w:themeColor="text1"/>
          <w:sz w:val="20"/>
          <w:szCs w:val="20"/>
        </w:rPr>
        <w:t xml:space="preserve"> - would </w:t>
      </w:r>
      <w:r w:rsidR="00C465B1">
        <w:rPr>
          <w:rFonts w:ascii="Arial" w:hAnsi="Arial" w:cs="Arial"/>
          <w:color w:val="000000" w:themeColor="text1"/>
          <w:sz w:val="20"/>
          <w:szCs w:val="20"/>
        </w:rPr>
        <w:t xml:space="preserve">have </w:t>
      </w:r>
      <w:r w:rsidRPr="00B11DD0">
        <w:rPr>
          <w:rFonts w:ascii="Arial" w:hAnsi="Arial" w:cs="Arial"/>
          <w:color w:val="000000" w:themeColor="text1"/>
          <w:sz w:val="20"/>
          <w:szCs w:val="20"/>
        </w:rPr>
        <w:t>require</w:t>
      </w:r>
      <w:r w:rsidR="00C465B1">
        <w:rPr>
          <w:rFonts w:ascii="Arial" w:hAnsi="Arial" w:cs="Arial"/>
          <w:color w:val="000000" w:themeColor="text1"/>
          <w:sz w:val="20"/>
          <w:szCs w:val="20"/>
        </w:rPr>
        <w:t>d</w:t>
      </w:r>
      <w:r w:rsidRPr="00B11DD0">
        <w:rPr>
          <w:rFonts w:ascii="Arial" w:hAnsi="Arial" w:cs="Arial"/>
          <w:color w:val="000000" w:themeColor="text1"/>
          <w:sz w:val="20"/>
          <w:szCs w:val="20"/>
        </w:rPr>
        <w:t xml:space="preserve"> the CPUC </w:t>
      </w:r>
      <w:r w:rsidR="00105C46">
        <w:rPr>
          <w:rFonts w:ascii="Arial" w:hAnsi="Arial" w:cs="Arial"/>
          <w:color w:val="000000" w:themeColor="text1"/>
          <w:sz w:val="20"/>
          <w:szCs w:val="20"/>
        </w:rPr>
        <w:t xml:space="preserve">to </w:t>
      </w:r>
      <w:r w:rsidRPr="00B11DD0">
        <w:rPr>
          <w:rFonts w:ascii="Arial" w:hAnsi="Arial" w:cs="Arial"/>
          <w:color w:val="000000" w:themeColor="text1"/>
          <w:sz w:val="20"/>
          <w:szCs w:val="20"/>
        </w:rPr>
        <w:t>direct any proceeds result</w:t>
      </w:r>
      <w:r w:rsidR="00105C46">
        <w:rPr>
          <w:rFonts w:ascii="Arial" w:hAnsi="Arial" w:cs="Arial"/>
          <w:color w:val="000000" w:themeColor="text1"/>
          <w:sz w:val="20"/>
          <w:szCs w:val="20"/>
        </w:rPr>
        <w:t>ing</w:t>
      </w:r>
      <w:r w:rsidRPr="00B11DD0">
        <w:rPr>
          <w:rFonts w:ascii="Arial" w:hAnsi="Arial" w:cs="Arial"/>
          <w:color w:val="000000" w:themeColor="text1"/>
          <w:sz w:val="20"/>
          <w:szCs w:val="20"/>
        </w:rPr>
        <w:t xml:space="preserve"> from any litigation or settlement regarding the 2001</w:t>
      </w:r>
      <w:r w:rsidR="00105C46">
        <w:rPr>
          <w:rFonts w:ascii="Arial" w:hAnsi="Arial" w:cs="Arial"/>
          <w:color w:val="000000" w:themeColor="text1"/>
          <w:sz w:val="20"/>
          <w:szCs w:val="20"/>
        </w:rPr>
        <w:t xml:space="preserve"> </w:t>
      </w:r>
      <w:r w:rsidRPr="00B11DD0">
        <w:rPr>
          <w:rFonts w:ascii="Arial" w:hAnsi="Arial" w:cs="Arial"/>
          <w:color w:val="000000" w:themeColor="text1"/>
          <w:sz w:val="20"/>
          <w:szCs w:val="20"/>
        </w:rPr>
        <w:t>-</w:t>
      </w:r>
      <w:r w:rsidR="00105C46">
        <w:rPr>
          <w:rFonts w:ascii="Arial" w:hAnsi="Arial" w:cs="Arial"/>
          <w:color w:val="000000" w:themeColor="text1"/>
          <w:sz w:val="20"/>
          <w:szCs w:val="20"/>
        </w:rPr>
        <w:t xml:space="preserve"> 20</w:t>
      </w:r>
      <w:r w:rsidRPr="00B11DD0">
        <w:rPr>
          <w:rFonts w:ascii="Arial" w:hAnsi="Arial" w:cs="Arial"/>
          <w:color w:val="000000" w:themeColor="text1"/>
          <w:sz w:val="20"/>
          <w:szCs w:val="20"/>
        </w:rPr>
        <w:t>02 electricity crisis back to ratepayers.</w:t>
      </w:r>
    </w:p>
    <w:p w:rsidR="00D02D79" w:rsidRPr="00B11DD0" w:rsidRDefault="00D02D79" w:rsidP="00B11DD0">
      <w:pPr>
        <w:pStyle w:val="NormalWeb"/>
        <w:jc w:val="both"/>
        <w:rPr>
          <w:rFonts w:ascii="Arial" w:hAnsi="Arial" w:cs="Arial"/>
          <w:color w:val="000000" w:themeColor="text1"/>
          <w:sz w:val="20"/>
          <w:szCs w:val="20"/>
        </w:rPr>
      </w:pPr>
      <w:r w:rsidRPr="00B11DD0">
        <w:rPr>
          <w:rFonts w:ascii="Arial" w:hAnsi="Arial" w:cs="Arial"/>
          <w:color w:val="000000" w:themeColor="text1"/>
          <w:sz w:val="20"/>
          <w:szCs w:val="20"/>
        </w:rPr>
        <w:t> </w:t>
      </w:r>
    </w:p>
    <w:p w:rsidR="00D02D79" w:rsidRPr="00B11DD0" w:rsidRDefault="00A32075" w:rsidP="00B11DD0">
      <w:pPr>
        <w:pStyle w:val="NormalWeb"/>
        <w:jc w:val="both"/>
        <w:rPr>
          <w:rFonts w:ascii="Arial" w:hAnsi="Arial" w:cs="Arial"/>
          <w:color w:val="000000" w:themeColor="text1"/>
          <w:sz w:val="20"/>
          <w:szCs w:val="20"/>
        </w:rPr>
      </w:pPr>
      <w:hyperlink r:id="rId58" w:tgtFrame="_blank" w:tooltip="AB 1266" w:history="1">
        <w:r w:rsidR="00D02D79" w:rsidRPr="00B11DD0">
          <w:rPr>
            <w:rStyle w:val="Strong"/>
            <w:rFonts w:ascii="Arial" w:hAnsi="Arial" w:cs="Arial"/>
            <w:color w:val="000000" w:themeColor="text1"/>
            <w:sz w:val="20"/>
            <w:szCs w:val="20"/>
          </w:rPr>
          <w:t>AB 1266</w:t>
        </w:r>
      </w:hyperlink>
      <w:r w:rsidR="00D02D79" w:rsidRPr="00B11DD0">
        <w:rPr>
          <w:rStyle w:val="Strong"/>
          <w:rFonts w:ascii="Arial" w:hAnsi="Arial" w:cs="Arial"/>
          <w:color w:val="000000" w:themeColor="text1"/>
          <w:sz w:val="20"/>
          <w:szCs w:val="20"/>
        </w:rPr>
        <w:t xml:space="preserve"> (Gonzalez)</w:t>
      </w:r>
      <w:r w:rsidR="00D02D79" w:rsidRPr="00B11DD0">
        <w:rPr>
          <w:rFonts w:ascii="Arial" w:hAnsi="Arial" w:cs="Arial"/>
          <w:color w:val="000000" w:themeColor="text1"/>
          <w:sz w:val="20"/>
          <w:szCs w:val="20"/>
        </w:rPr>
        <w:t xml:space="preserve"> - require</w:t>
      </w:r>
      <w:r w:rsidR="00C465B1">
        <w:rPr>
          <w:rFonts w:ascii="Arial" w:hAnsi="Arial" w:cs="Arial"/>
          <w:color w:val="000000" w:themeColor="text1"/>
          <w:sz w:val="20"/>
          <w:szCs w:val="20"/>
        </w:rPr>
        <w:t>s</w:t>
      </w:r>
      <w:r w:rsidR="00D02D79" w:rsidRPr="00B11DD0">
        <w:rPr>
          <w:rFonts w:ascii="Arial" w:hAnsi="Arial" w:cs="Arial"/>
          <w:color w:val="000000" w:themeColor="text1"/>
          <w:sz w:val="20"/>
          <w:szCs w:val="20"/>
        </w:rPr>
        <w:t xml:space="preserve"> energy utilities to receive CPUC approval in order to claim executive bonuses as an expense eligible for rate recovery, for a period of 5 years after a major state or federal safety violation. </w:t>
      </w:r>
    </w:p>
    <w:p w:rsidR="00D02D79" w:rsidRPr="00B11DD0" w:rsidRDefault="00D02D79" w:rsidP="00B11DD0">
      <w:pPr>
        <w:pStyle w:val="NormalWeb"/>
        <w:jc w:val="both"/>
        <w:rPr>
          <w:rFonts w:ascii="Arial" w:hAnsi="Arial" w:cs="Arial"/>
          <w:color w:val="000000" w:themeColor="text1"/>
          <w:sz w:val="20"/>
          <w:szCs w:val="20"/>
        </w:rPr>
      </w:pPr>
      <w:r w:rsidRPr="00B11DD0">
        <w:rPr>
          <w:rFonts w:ascii="Arial" w:hAnsi="Arial" w:cs="Arial"/>
          <w:color w:val="000000" w:themeColor="text1"/>
          <w:sz w:val="20"/>
          <w:szCs w:val="20"/>
        </w:rPr>
        <w:t> </w:t>
      </w:r>
    </w:p>
    <w:p w:rsidR="00D02D79" w:rsidRDefault="00D02D79" w:rsidP="00B11DD0">
      <w:pPr>
        <w:pStyle w:val="NormalWeb"/>
        <w:jc w:val="both"/>
        <w:rPr>
          <w:rFonts w:ascii="Arial" w:hAnsi="Arial" w:cs="Arial"/>
          <w:color w:val="000000" w:themeColor="text1"/>
          <w:sz w:val="20"/>
          <w:szCs w:val="20"/>
        </w:rPr>
      </w:pPr>
      <w:r w:rsidRPr="00B11DD0">
        <w:rPr>
          <w:rFonts w:ascii="Arial" w:hAnsi="Arial" w:cs="Arial"/>
          <w:b/>
          <w:color w:val="000000" w:themeColor="text1"/>
          <w:sz w:val="20"/>
          <w:szCs w:val="20"/>
        </w:rPr>
        <w:t>AB 1331</w:t>
      </w:r>
      <w:r w:rsidRPr="00B11DD0">
        <w:rPr>
          <w:rFonts w:ascii="Arial" w:hAnsi="Arial" w:cs="Arial"/>
          <w:b/>
          <w:bCs/>
          <w:color w:val="000000" w:themeColor="text1"/>
          <w:sz w:val="20"/>
          <w:szCs w:val="20"/>
        </w:rPr>
        <w:t xml:space="preserve"> (Obernolte)</w:t>
      </w:r>
      <w:r w:rsidRPr="00B11DD0">
        <w:rPr>
          <w:rFonts w:ascii="Arial" w:hAnsi="Arial" w:cs="Arial"/>
          <w:color w:val="000000" w:themeColor="text1"/>
          <w:sz w:val="20"/>
          <w:szCs w:val="20"/>
        </w:rPr>
        <w:t xml:space="preserve"> - would </w:t>
      </w:r>
      <w:r w:rsidR="00C465B1">
        <w:rPr>
          <w:rFonts w:ascii="Arial" w:hAnsi="Arial" w:cs="Arial"/>
          <w:color w:val="000000" w:themeColor="text1"/>
          <w:sz w:val="20"/>
          <w:szCs w:val="20"/>
        </w:rPr>
        <w:t xml:space="preserve">have </w:t>
      </w:r>
      <w:r w:rsidRPr="00B11DD0">
        <w:rPr>
          <w:rFonts w:ascii="Arial" w:hAnsi="Arial" w:cs="Arial"/>
          <w:color w:val="000000" w:themeColor="text1"/>
          <w:sz w:val="20"/>
          <w:szCs w:val="20"/>
        </w:rPr>
        <w:t>provide</w:t>
      </w:r>
      <w:r w:rsidR="00C465B1">
        <w:rPr>
          <w:rFonts w:ascii="Arial" w:hAnsi="Arial" w:cs="Arial"/>
          <w:color w:val="000000" w:themeColor="text1"/>
          <w:sz w:val="20"/>
          <w:szCs w:val="20"/>
        </w:rPr>
        <w:t>d</w:t>
      </w:r>
      <w:r w:rsidRPr="00B11DD0">
        <w:rPr>
          <w:rFonts w:ascii="Arial" w:hAnsi="Arial" w:cs="Arial"/>
          <w:color w:val="000000" w:themeColor="text1"/>
          <w:sz w:val="20"/>
          <w:szCs w:val="20"/>
        </w:rPr>
        <w:t xml:space="preserve"> that CARE program participants who fail to respond to an income verification request shall be permanently barred from self-certified reenrollment in the CARE program. </w:t>
      </w:r>
    </w:p>
    <w:p w:rsidR="005A69EC" w:rsidRDefault="005A69EC" w:rsidP="00B11DD0">
      <w:pPr>
        <w:pStyle w:val="NormalWeb"/>
        <w:jc w:val="both"/>
        <w:rPr>
          <w:rFonts w:ascii="Arial" w:hAnsi="Arial" w:cs="Arial"/>
          <w:color w:val="000000" w:themeColor="text1"/>
          <w:sz w:val="20"/>
          <w:szCs w:val="20"/>
        </w:rPr>
      </w:pPr>
    </w:p>
    <w:p w:rsidR="005A69EC" w:rsidRDefault="005A69EC" w:rsidP="00B11DD0">
      <w:pPr>
        <w:pStyle w:val="NormalWeb"/>
        <w:jc w:val="both"/>
        <w:rPr>
          <w:rFonts w:ascii="Arial" w:hAnsi="Arial" w:cs="Arial"/>
          <w:color w:val="000000" w:themeColor="text1"/>
          <w:sz w:val="20"/>
          <w:szCs w:val="20"/>
        </w:rPr>
      </w:pPr>
    </w:p>
    <w:p w:rsidR="005A69EC" w:rsidRDefault="005A69EC" w:rsidP="00B11DD0">
      <w:pPr>
        <w:pStyle w:val="NormalWeb"/>
        <w:jc w:val="both"/>
        <w:rPr>
          <w:rFonts w:ascii="Arial" w:hAnsi="Arial" w:cs="Arial"/>
          <w:color w:val="000000" w:themeColor="text1"/>
          <w:sz w:val="20"/>
          <w:szCs w:val="20"/>
        </w:rPr>
      </w:pPr>
    </w:p>
    <w:p w:rsidR="005A69EC" w:rsidRDefault="005A69EC" w:rsidP="00B11DD0">
      <w:pPr>
        <w:pStyle w:val="NormalWeb"/>
        <w:jc w:val="both"/>
        <w:rPr>
          <w:rFonts w:ascii="Arial" w:hAnsi="Arial" w:cs="Arial"/>
          <w:color w:val="000000" w:themeColor="text1"/>
          <w:sz w:val="20"/>
          <w:szCs w:val="20"/>
        </w:rPr>
      </w:pPr>
    </w:p>
    <w:p w:rsidR="005A69EC" w:rsidRPr="002A2D6B" w:rsidRDefault="005A69EC" w:rsidP="005A69EC">
      <w:pPr>
        <w:pStyle w:val="NormalWeb"/>
        <w:spacing w:before="120"/>
        <w:jc w:val="both"/>
        <w:rPr>
          <w:rFonts w:ascii="Arial Black" w:hAnsi="Arial Black" w:cs="Arial"/>
          <w:b/>
          <w:color w:val="4F81BD" w:themeColor="accent1"/>
          <w:szCs w:val="20"/>
        </w:rPr>
      </w:pPr>
      <w:r w:rsidRPr="002A2D6B">
        <w:rPr>
          <w:rFonts w:ascii="Arial Black" w:hAnsi="Arial Black" w:cs="Arial"/>
          <w:b/>
          <w:color w:val="4F81BD" w:themeColor="accent1"/>
          <w:szCs w:val="20"/>
        </w:rPr>
        <w:t>ENERGY</w:t>
      </w:r>
      <w:r>
        <w:rPr>
          <w:rFonts w:ascii="Arial Black" w:hAnsi="Arial Black" w:cs="Arial"/>
          <w:b/>
          <w:color w:val="4F81BD" w:themeColor="accent1"/>
          <w:szCs w:val="20"/>
        </w:rPr>
        <w:t xml:space="preserve"> (cont’d)</w:t>
      </w:r>
    </w:p>
    <w:p w:rsidR="005A69EC" w:rsidRDefault="005A69EC" w:rsidP="00B11DD0">
      <w:pPr>
        <w:pStyle w:val="NormalWeb"/>
        <w:jc w:val="both"/>
        <w:rPr>
          <w:rFonts w:ascii="Arial" w:hAnsi="Arial" w:cs="Arial"/>
          <w:color w:val="000000" w:themeColor="text1"/>
          <w:sz w:val="20"/>
          <w:szCs w:val="20"/>
        </w:rPr>
      </w:pPr>
    </w:p>
    <w:p w:rsidR="005A69EC" w:rsidRPr="005A69EC" w:rsidRDefault="005A69EC" w:rsidP="00B11DD0">
      <w:pPr>
        <w:pStyle w:val="NormalWeb"/>
        <w:jc w:val="both"/>
        <w:rPr>
          <w:rFonts w:ascii="Arial Black" w:hAnsi="Arial Black" w:cs="Arial"/>
          <w:color w:val="000000" w:themeColor="text1"/>
          <w:sz w:val="20"/>
          <w:szCs w:val="20"/>
          <w:u w:val="single"/>
        </w:rPr>
      </w:pPr>
      <w:r w:rsidRPr="005A69EC">
        <w:rPr>
          <w:rFonts w:ascii="Arial Black" w:hAnsi="Arial Black" w:cs="Arial"/>
          <w:color w:val="000000" w:themeColor="text1"/>
          <w:sz w:val="20"/>
          <w:szCs w:val="20"/>
          <w:u w:val="single"/>
        </w:rPr>
        <w:t>Senate Bills</w:t>
      </w:r>
    </w:p>
    <w:p w:rsidR="00D02D79" w:rsidRPr="00B11DD0" w:rsidRDefault="00D02D79" w:rsidP="00B11DD0">
      <w:pPr>
        <w:pStyle w:val="NormalWeb"/>
        <w:jc w:val="both"/>
        <w:rPr>
          <w:rFonts w:ascii="Arial" w:hAnsi="Arial" w:cs="Arial"/>
          <w:color w:val="000000" w:themeColor="text1"/>
          <w:sz w:val="20"/>
          <w:szCs w:val="20"/>
        </w:rPr>
      </w:pPr>
      <w:r w:rsidRPr="00B11DD0">
        <w:rPr>
          <w:rFonts w:ascii="Arial" w:hAnsi="Arial" w:cs="Arial"/>
          <w:color w:val="000000" w:themeColor="text1"/>
          <w:sz w:val="20"/>
          <w:szCs w:val="20"/>
        </w:rPr>
        <w:t> </w:t>
      </w:r>
    </w:p>
    <w:p w:rsidR="005A69EC" w:rsidRPr="00B11DD0" w:rsidRDefault="00D02D79" w:rsidP="00B11DD0">
      <w:pPr>
        <w:pStyle w:val="NormalWeb"/>
        <w:jc w:val="both"/>
        <w:rPr>
          <w:rFonts w:ascii="Arial" w:hAnsi="Arial" w:cs="Arial"/>
          <w:color w:val="000000" w:themeColor="text1"/>
          <w:sz w:val="20"/>
          <w:szCs w:val="20"/>
        </w:rPr>
      </w:pPr>
      <w:r w:rsidRPr="00B11DD0">
        <w:rPr>
          <w:rFonts w:ascii="Arial" w:hAnsi="Arial" w:cs="Arial"/>
          <w:b/>
          <w:color w:val="000000" w:themeColor="text1"/>
          <w:sz w:val="20"/>
          <w:szCs w:val="20"/>
        </w:rPr>
        <w:t>SB 350</w:t>
      </w:r>
      <w:r w:rsidRPr="00B11DD0">
        <w:rPr>
          <w:rFonts w:ascii="Arial" w:hAnsi="Arial" w:cs="Arial"/>
          <w:b/>
          <w:bCs/>
          <w:color w:val="000000" w:themeColor="text1"/>
          <w:sz w:val="20"/>
          <w:szCs w:val="20"/>
        </w:rPr>
        <w:t xml:space="preserve"> (de León)</w:t>
      </w:r>
      <w:r w:rsidRPr="00B11DD0">
        <w:rPr>
          <w:rFonts w:ascii="Arial" w:hAnsi="Arial" w:cs="Arial"/>
          <w:color w:val="000000" w:themeColor="text1"/>
          <w:sz w:val="20"/>
          <w:szCs w:val="20"/>
        </w:rPr>
        <w:t xml:space="preserve"> - increase</w:t>
      </w:r>
      <w:r w:rsidR="001F047E">
        <w:rPr>
          <w:rFonts w:ascii="Arial" w:hAnsi="Arial" w:cs="Arial"/>
          <w:color w:val="000000" w:themeColor="text1"/>
          <w:sz w:val="20"/>
          <w:szCs w:val="20"/>
        </w:rPr>
        <w:t>s</w:t>
      </w:r>
      <w:r w:rsidRPr="00B11DD0">
        <w:rPr>
          <w:rFonts w:ascii="Arial" w:hAnsi="Arial" w:cs="Arial"/>
          <w:color w:val="000000" w:themeColor="text1"/>
          <w:sz w:val="20"/>
          <w:szCs w:val="20"/>
        </w:rPr>
        <w:t xml:space="preserve"> California’s re</w:t>
      </w:r>
      <w:r w:rsidR="00105C46">
        <w:rPr>
          <w:rFonts w:ascii="Arial" w:hAnsi="Arial" w:cs="Arial"/>
          <w:color w:val="000000" w:themeColor="text1"/>
          <w:sz w:val="20"/>
          <w:szCs w:val="20"/>
        </w:rPr>
        <w:t>newable energy generation to 50%</w:t>
      </w:r>
      <w:r w:rsidRPr="00B11DD0">
        <w:rPr>
          <w:rFonts w:ascii="Arial" w:hAnsi="Arial" w:cs="Arial"/>
          <w:color w:val="000000" w:themeColor="text1"/>
          <w:sz w:val="20"/>
          <w:szCs w:val="20"/>
        </w:rPr>
        <w:t>, and increase energy efficiency in existing buildings by 2030.  </w:t>
      </w:r>
    </w:p>
    <w:p w:rsidR="00D02D79" w:rsidRPr="00B11DD0" w:rsidRDefault="00D02D79" w:rsidP="00B11DD0">
      <w:pPr>
        <w:pStyle w:val="NormalWeb"/>
        <w:jc w:val="both"/>
        <w:rPr>
          <w:rFonts w:ascii="Arial" w:hAnsi="Arial" w:cs="Arial"/>
          <w:color w:val="000000" w:themeColor="text1"/>
          <w:sz w:val="20"/>
          <w:szCs w:val="20"/>
        </w:rPr>
      </w:pPr>
      <w:r w:rsidRPr="00B11DD0">
        <w:rPr>
          <w:rFonts w:ascii="Arial" w:hAnsi="Arial" w:cs="Arial"/>
          <w:color w:val="000000" w:themeColor="text1"/>
          <w:sz w:val="20"/>
          <w:szCs w:val="20"/>
        </w:rPr>
        <w:t> </w:t>
      </w:r>
    </w:p>
    <w:p w:rsidR="00D02D79" w:rsidRPr="00B11DD0" w:rsidRDefault="00D02D79" w:rsidP="00B11DD0">
      <w:pPr>
        <w:pStyle w:val="NormalWeb"/>
        <w:jc w:val="both"/>
        <w:rPr>
          <w:rFonts w:ascii="Arial" w:hAnsi="Arial" w:cs="Arial"/>
          <w:color w:val="000000" w:themeColor="text1"/>
          <w:sz w:val="20"/>
          <w:szCs w:val="20"/>
        </w:rPr>
      </w:pPr>
      <w:r w:rsidRPr="00B11DD0">
        <w:rPr>
          <w:rFonts w:ascii="Arial" w:hAnsi="Arial" w:cs="Arial"/>
          <w:b/>
          <w:color w:val="000000" w:themeColor="text1"/>
          <w:sz w:val="20"/>
          <w:szCs w:val="20"/>
        </w:rPr>
        <w:t>SB 723</w:t>
      </w:r>
      <w:r w:rsidRPr="00B11DD0">
        <w:rPr>
          <w:rFonts w:ascii="Arial" w:hAnsi="Arial" w:cs="Arial"/>
          <w:b/>
          <w:bCs/>
          <w:color w:val="000000" w:themeColor="text1"/>
          <w:sz w:val="20"/>
          <w:szCs w:val="20"/>
        </w:rPr>
        <w:t xml:space="preserve"> (Pavley)</w:t>
      </w:r>
      <w:r w:rsidRPr="00B11DD0">
        <w:rPr>
          <w:rFonts w:ascii="Arial" w:hAnsi="Arial" w:cs="Arial"/>
          <w:color w:val="000000" w:themeColor="text1"/>
          <w:sz w:val="20"/>
          <w:szCs w:val="20"/>
        </w:rPr>
        <w:t xml:space="preserve"> </w:t>
      </w:r>
      <w:r w:rsidR="00B11DD0" w:rsidRPr="00B11DD0">
        <w:rPr>
          <w:rFonts w:ascii="Arial" w:hAnsi="Arial" w:cs="Arial"/>
          <w:color w:val="000000" w:themeColor="text1"/>
          <w:sz w:val="20"/>
          <w:szCs w:val="20"/>
        </w:rPr>
        <w:t xml:space="preserve">- </w:t>
      </w:r>
      <w:r w:rsidRPr="00B11DD0">
        <w:rPr>
          <w:rFonts w:ascii="Arial" w:hAnsi="Arial" w:cs="Arial"/>
          <w:color w:val="000000" w:themeColor="text1"/>
          <w:sz w:val="20"/>
          <w:szCs w:val="20"/>
        </w:rPr>
        <w:t>would require the CPUC to expedite implementation of energy efficiency measures on military bases.  </w:t>
      </w:r>
    </w:p>
    <w:p w:rsidR="00D02D79" w:rsidRPr="00B11DD0" w:rsidRDefault="00D02D79" w:rsidP="00B11DD0">
      <w:pPr>
        <w:pStyle w:val="NormalWeb"/>
        <w:jc w:val="both"/>
        <w:rPr>
          <w:rFonts w:ascii="Arial" w:hAnsi="Arial" w:cs="Arial"/>
          <w:color w:val="000000" w:themeColor="text1"/>
          <w:sz w:val="20"/>
          <w:szCs w:val="20"/>
        </w:rPr>
      </w:pPr>
      <w:r w:rsidRPr="00B11DD0">
        <w:rPr>
          <w:rFonts w:ascii="Arial" w:hAnsi="Arial" w:cs="Arial"/>
          <w:color w:val="000000" w:themeColor="text1"/>
          <w:sz w:val="20"/>
          <w:szCs w:val="20"/>
        </w:rPr>
        <w:t> </w:t>
      </w:r>
    </w:p>
    <w:p w:rsidR="00D02D79" w:rsidRPr="00B11DD0" w:rsidRDefault="00D02D79" w:rsidP="00B11DD0">
      <w:pPr>
        <w:pStyle w:val="NormalWeb"/>
        <w:jc w:val="both"/>
        <w:rPr>
          <w:rFonts w:ascii="Arial" w:hAnsi="Arial" w:cs="Arial"/>
          <w:color w:val="000000" w:themeColor="text1"/>
          <w:sz w:val="20"/>
          <w:szCs w:val="20"/>
        </w:rPr>
      </w:pPr>
      <w:r w:rsidRPr="00B11DD0">
        <w:rPr>
          <w:rFonts w:ascii="Arial" w:hAnsi="Arial" w:cs="Arial"/>
          <w:b/>
          <w:color w:val="000000" w:themeColor="text1"/>
          <w:sz w:val="20"/>
          <w:szCs w:val="20"/>
        </w:rPr>
        <w:t>SB 765</w:t>
      </w:r>
      <w:r w:rsidRPr="00B11DD0">
        <w:rPr>
          <w:rFonts w:ascii="Arial" w:hAnsi="Arial" w:cs="Arial"/>
          <w:b/>
          <w:bCs/>
          <w:color w:val="000000" w:themeColor="text1"/>
          <w:sz w:val="20"/>
          <w:szCs w:val="20"/>
        </w:rPr>
        <w:t xml:space="preserve"> (Wolk)</w:t>
      </w:r>
      <w:r w:rsidRPr="00B11DD0">
        <w:rPr>
          <w:rFonts w:ascii="Arial" w:hAnsi="Arial" w:cs="Arial"/>
          <w:color w:val="000000" w:themeColor="text1"/>
          <w:sz w:val="20"/>
          <w:szCs w:val="20"/>
        </w:rPr>
        <w:t xml:space="preserve"> - would allow the CPUC to select an independent California Market Transformation Administrator to implement energy efficiency market transformation initiatives</w:t>
      </w:r>
      <w:r w:rsidR="0063684D">
        <w:rPr>
          <w:rFonts w:ascii="Arial" w:hAnsi="Arial" w:cs="Arial"/>
          <w:color w:val="000000" w:themeColor="text1"/>
          <w:sz w:val="20"/>
          <w:szCs w:val="20"/>
        </w:rPr>
        <w:t>.</w:t>
      </w:r>
      <w:r w:rsidRPr="00B11DD0">
        <w:rPr>
          <w:rFonts w:ascii="Arial" w:hAnsi="Arial" w:cs="Arial"/>
          <w:color w:val="000000" w:themeColor="text1"/>
          <w:sz w:val="20"/>
          <w:szCs w:val="20"/>
        </w:rPr>
        <w:t xml:space="preserve">  </w:t>
      </w:r>
    </w:p>
    <w:p w:rsidR="00D02D79" w:rsidRPr="00B11DD0" w:rsidRDefault="00D02D79" w:rsidP="00B11DD0">
      <w:pPr>
        <w:pStyle w:val="NormalWeb"/>
        <w:jc w:val="both"/>
        <w:rPr>
          <w:rFonts w:ascii="Arial" w:hAnsi="Arial" w:cs="Arial"/>
          <w:color w:val="000000" w:themeColor="text1"/>
          <w:sz w:val="20"/>
          <w:szCs w:val="20"/>
        </w:rPr>
      </w:pPr>
      <w:r w:rsidRPr="00B11DD0">
        <w:rPr>
          <w:rFonts w:ascii="Arial" w:hAnsi="Arial" w:cs="Arial"/>
          <w:color w:val="000000" w:themeColor="text1"/>
          <w:sz w:val="20"/>
          <w:szCs w:val="20"/>
        </w:rPr>
        <w:t> </w:t>
      </w:r>
    </w:p>
    <w:p w:rsidR="00D02D79" w:rsidRPr="00B11DD0" w:rsidRDefault="00D02D79" w:rsidP="00B11DD0">
      <w:pPr>
        <w:pStyle w:val="NormalWeb"/>
        <w:jc w:val="both"/>
        <w:rPr>
          <w:rFonts w:ascii="Arial" w:hAnsi="Arial" w:cs="Arial"/>
          <w:color w:val="000000" w:themeColor="text1"/>
          <w:sz w:val="20"/>
          <w:szCs w:val="20"/>
        </w:rPr>
      </w:pPr>
      <w:r w:rsidRPr="00B11DD0">
        <w:rPr>
          <w:rFonts w:ascii="Arial" w:hAnsi="Arial" w:cs="Arial"/>
          <w:b/>
          <w:color w:val="000000" w:themeColor="text1"/>
          <w:sz w:val="20"/>
          <w:szCs w:val="20"/>
        </w:rPr>
        <w:t>SB 793</w:t>
      </w:r>
      <w:r w:rsidRPr="00B11DD0">
        <w:rPr>
          <w:rFonts w:ascii="Arial" w:hAnsi="Arial" w:cs="Arial"/>
          <w:b/>
          <w:bCs/>
          <w:color w:val="000000" w:themeColor="text1"/>
          <w:sz w:val="20"/>
          <w:szCs w:val="20"/>
        </w:rPr>
        <w:t xml:space="preserve"> (Wolk)</w:t>
      </w:r>
      <w:r w:rsidRPr="00B11DD0">
        <w:rPr>
          <w:rFonts w:ascii="Arial" w:hAnsi="Arial" w:cs="Arial"/>
          <w:color w:val="000000" w:themeColor="text1"/>
          <w:sz w:val="20"/>
          <w:szCs w:val="20"/>
        </w:rPr>
        <w:t xml:space="preserve"> - allow</w:t>
      </w:r>
      <w:r w:rsidR="00C22F20">
        <w:rPr>
          <w:rFonts w:ascii="Arial" w:hAnsi="Arial" w:cs="Arial"/>
          <w:color w:val="000000" w:themeColor="text1"/>
          <w:sz w:val="20"/>
          <w:szCs w:val="20"/>
        </w:rPr>
        <w:t>s</w:t>
      </w:r>
      <w:r w:rsidRPr="00B11DD0">
        <w:rPr>
          <w:rFonts w:ascii="Arial" w:hAnsi="Arial" w:cs="Arial"/>
          <w:color w:val="000000" w:themeColor="text1"/>
          <w:sz w:val="20"/>
          <w:szCs w:val="20"/>
        </w:rPr>
        <w:t xml:space="preserve"> utility customers participating in Green Tariff Shared Renewable Program to enroll for multiple years at a time for up to 20 years.  </w:t>
      </w:r>
    </w:p>
    <w:p w:rsidR="00D02D79" w:rsidRDefault="00D02D79" w:rsidP="00B11DD0">
      <w:pPr>
        <w:pStyle w:val="NormalWeb"/>
        <w:jc w:val="both"/>
        <w:rPr>
          <w:rFonts w:ascii="Arial" w:hAnsi="Arial" w:cs="Arial"/>
          <w:color w:val="505050"/>
          <w:sz w:val="19"/>
          <w:szCs w:val="19"/>
        </w:rPr>
      </w:pPr>
      <w:r>
        <w:rPr>
          <w:rFonts w:ascii="Arial" w:hAnsi="Arial" w:cs="Arial"/>
          <w:color w:val="505050"/>
          <w:sz w:val="19"/>
          <w:szCs w:val="19"/>
        </w:rPr>
        <w:t> </w:t>
      </w:r>
    </w:p>
    <w:p w:rsidR="00D02D79" w:rsidRPr="00B11DD0" w:rsidRDefault="00D02D79" w:rsidP="00B11DD0">
      <w:pPr>
        <w:pStyle w:val="Heading2"/>
        <w:rPr>
          <w:rFonts w:ascii="Arial Black" w:hAnsi="Arial Black" w:cs="Arial"/>
          <w:color w:val="4F81BD" w:themeColor="accent1"/>
          <w:sz w:val="27"/>
          <w:szCs w:val="27"/>
        </w:rPr>
      </w:pPr>
      <w:r w:rsidRPr="00B11DD0">
        <w:rPr>
          <w:rFonts w:ascii="Arial Black" w:hAnsi="Arial Black" w:cs="Arial"/>
          <w:color w:val="4F81BD" w:themeColor="accent1"/>
          <w:sz w:val="27"/>
          <w:szCs w:val="27"/>
        </w:rPr>
        <w:t>W</w:t>
      </w:r>
      <w:r w:rsidR="002A2D6B">
        <w:rPr>
          <w:rFonts w:ascii="Arial Black" w:hAnsi="Arial Black" w:cs="Arial"/>
          <w:color w:val="4F81BD" w:themeColor="accent1"/>
          <w:sz w:val="27"/>
          <w:szCs w:val="27"/>
        </w:rPr>
        <w:t>ATER</w:t>
      </w:r>
    </w:p>
    <w:p w:rsidR="00D02D79" w:rsidRPr="00B11DD0" w:rsidRDefault="00D02D79" w:rsidP="00B11DD0">
      <w:pPr>
        <w:pStyle w:val="NormalWeb"/>
        <w:jc w:val="both"/>
        <w:rPr>
          <w:rFonts w:ascii="Arial" w:hAnsi="Arial" w:cs="Arial"/>
          <w:color w:val="000000" w:themeColor="text1"/>
          <w:sz w:val="20"/>
          <w:szCs w:val="20"/>
        </w:rPr>
      </w:pPr>
      <w:r w:rsidRPr="00B11DD0">
        <w:rPr>
          <w:rFonts w:ascii="Arial" w:hAnsi="Arial" w:cs="Arial"/>
          <w:b/>
          <w:color w:val="000000" w:themeColor="text1"/>
          <w:sz w:val="20"/>
          <w:szCs w:val="20"/>
        </w:rPr>
        <w:t>AB 401</w:t>
      </w:r>
      <w:r w:rsidRPr="00B11DD0">
        <w:rPr>
          <w:rFonts w:ascii="Arial" w:hAnsi="Arial" w:cs="Arial"/>
          <w:b/>
          <w:bCs/>
          <w:color w:val="000000" w:themeColor="text1"/>
          <w:sz w:val="20"/>
          <w:szCs w:val="20"/>
        </w:rPr>
        <w:t xml:space="preserve"> (Dodd)</w:t>
      </w:r>
      <w:r w:rsidRPr="00B11DD0">
        <w:rPr>
          <w:rFonts w:ascii="Arial" w:hAnsi="Arial" w:cs="Arial"/>
          <w:color w:val="000000" w:themeColor="text1"/>
          <w:sz w:val="20"/>
          <w:szCs w:val="20"/>
        </w:rPr>
        <w:t xml:space="preserve"> - require</w:t>
      </w:r>
      <w:r w:rsidR="00C22F20">
        <w:rPr>
          <w:rFonts w:ascii="Arial" w:hAnsi="Arial" w:cs="Arial"/>
          <w:color w:val="000000" w:themeColor="text1"/>
          <w:sz w:val="20"/>
          <w:szCs w:val="20"/>
        </w:rPr>
        <w:t>s</w:t>
      </w:r>
      <w:r w:rsidRPr="00B11DD0">
        <w:rPr>
          <w:rFonts w:ascii="Arial" w:hAnsi="Arial" w:cs="Arial"/>
          <w:color w:val="000000" w:themeColor="text1"/>
          <w:sz w:val="20"/>
          <w:szCs w:val="20"/>
        </w:rPr>
        <w:t xml:space="preserve"> the Department of Community Services and Development, the State Board of Equalization, and other stakeholders to develop a statewide Low-Income Water Rate Assistance Program plan.  </w:t>
      </w:r>
    </w:p>
    <w:p w:rsidR="00D02D79" w:rsidRDefault="00D02D79" w:rsidP="00B11DD0">
      <w:pPr>
        <w:pStyle w:val="NormalWeb"/>
        <w:jc w:val="both"/>
        <w:rPr>
          <w:rFonts w:ascii="Arial" w:hAnsi="Arial" w:cs="Arial"/>
          <w:color w:val="505050"/>
          <w:sz w:val="19"/>
          <w:szCs w:val="19"/>
        </w:rPr>
      </w:pPr>
      <w:r>
        <w:rPr>
          <w:rFonts w:ascii="Arial" w:hAnsi="Arial" w:cs="Arial"/>
          <w:color w:val="505050"/>
          <w:sz w:val="19"/>
          <w:szCs w:val="19"/>
        </w:rPr>
        <w:t> </w:t>
      </w:r>
    </w:p>
    <w:p w:rsidR="00D02D79" w:rsidRDefault="00D02D79" w:rsidP="00B11DD0">
      <w:pPr>
        <w:pStyle w:val="NormalWeb"/>
        <w:jc w:val="both"/>
        <w:rPr>
          <w:rFonts w:ascii="Arial" w:hAnsi="Arial" w:cs="Arial"/>
          <w:color w:val="505050"/>
          <w:sz w:val="19"/>
          <w:szCs w:val="19"/>
        </w:rPr>
      </w:pPr>
      <w:r>
        <w:rPr>
          <w:rFonts w:ascii="Arial" w:hAnsi="Arial" w:cs="Arial"/>
          <w:color w:val="505050"/>
          <w:sz w:val="19"/>
          <w:szCs w:val="19"/>
        </w:rPr>
        <w:t> </w:t>
      </w:r>
    </w:p>
    <w:p w:rsidR="00D02D79" w:rsidRDefault="00D02D79" w:rsidP="00D02D79">
      <w:pPr>
        <w:pStyle w:val="NormalWeb"/>
        <w:rPr>
          <w:rFonts w:ascii="Arial" w:hAnsi="Arial" w:cs="Arial"/>
          <w:color w:val="505050"/>
          <w:sz w:val="19"/>
          <w:szCs w:val="19"/>
        </w:rPr>
      </w:pPr>
      <w:r>
        <w:rPr>
          <w:rFonts w:ascii="Arial" w:hAnsi="Arial" w:cs="Arial"/>
          <w:color w:val="505050"/>
          <w:sz w:val="19"/>
          <w:szCs w:val="19"/>
        </w:rPr>
        <w:t> </w:t>
      </w:r>
    </w:p>
    <w:p w:rsidR="00D02D79" w:rsidRDefault="00D02D79" w:rsidP="00B11DD0">
      <w:pPr>
        <w:spacing w:after="240"/>
        <w:rPr>
          <w:rFonts w:ascii="Calibri" w:hAnsi="Calibri" w:cs="Arial"/>
          <w:color w:val="16305A"/>
          <w:sz w:val="15"/>
          <w:szCs w:val="15"/>
        </w:rPr>
      </w:pPr>
      <w:r>
        <w:rPr>
          <w:rFonts w:ascii="Arial" w:hAnsi="Arial" w:cs="Arial"/>
          <w:color w:val="505050"/>
          <w:sz w:val="19"/>
          <w:szCs w:val="19"/>
        </w:rPr>
        <w:br/>
      </w:r>
    </w:p>
    <w:p w:rsidR="007A18A7" w:rsidRDefault="007A18A7">
      <w:pPr>
        <w:rPr>
          <w:rFonts w:ascii="Arial" w:hAnsi="Arial" w:cs="Arial"/>
          <w:sz w:val="22"/>
          <w:szCs w:val="22"/>
        </w:rPr>
      </w:pPr>
      <w:r>
        <w:rPr>
          <w:rFonts w:ascii="Arial" w:hAnsi="Arial" w:cs="Arial"/>
          <w:sz w:val="22"/>
          <w:szCs w:val="22"/>
        </w:rPr>
        <w:br w:type="page"/>
      </w:r>
    </w:p>
    <w:p w:rsidR="00DD6CB0" w:rsidRPr="00720D4F" w:rsidRDefault="00C15F32" w:rsidP="00315B52">
      <w:pPr>
        <w:rPr>
          <w:rFonts w:ascii="Arial" w:hAnsi="Arial" w:cs="Arial"/>
          <w:sz w:val="22"/>
          <w:szCs w:val="22"/>
        </w:rPr>
      </w:pPr>
      <w:r>
        <w:rPr>
          <w:rFonts w:ascii="Arial" w:hAnsi="Arial" w:cs="Arial"/>
          <w:noProof/>
          <w:sz w:val="20"/>
          <w:szCs w:val="20"/>
        </w:rPr>
        <w:lastRenderedPageBreak/>
        <mc:AlternateContent>
          <mc:Choice Requires="wps">
            <w:drawing>
              <wp:anchor distT="0" distB="0" distL="114300" distR="114300" simplePos="0" relativeHeight="251795968" behindDoc="0" locked="0" layoutInCell="1" allowOverlap="1" wp14:anchorId="204D2A7B" wp14:editId="4B638700">
                <wp:simplePos x="0" y="0"/>
                <wp:positionH relativeFrom="column">
                  <wp:posOffset>893749</wp:posOffset>
                </wp:positionH>
                <wp:positionV relativeFrom="paragraph">
                  <wp:posOffset>4095750</wp:posOffset>
                </wp:positionV>
                <wp:extent cx="5891916" cy="985962"/>
                <wp:effectExtent l="0" t="0" r="0" b="5080"/>
                <wp:wrapNone/>
                <wp:docPr id="5319" name="Text Box 5319"/>
                <wp:cNvGraphicFramePr/>
                <a:graphic xmlns:a="http://schemas.openxmlformats.org/drawingml/2006/main">
                  <a:graphicData uri="http://schemas.microsoft.com/office/word/2010/wordprocessingShape">
                    <wps:wsp>
                      <wps:cNvSpPr txBox="1"/>
                      <wps:spPr>
                        <a:xfrm>
                          <a:off x="0" y="0"/>
                          <a:ext cx="5891916" cy="9859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80" w:rsidRPr="00C15F32" w:rsidRDefault="00CE6E80">
                            <w:pPr>
                              <w:rPr>
                                <w:rFonts w:ascii="Arial Black" w:hAnsi="Arial Black" w:cs="Arial"/>
                                <w:sz w:val="96"/>
                                <w:szCs w:val="96"/>
                              </w:rPr>
                            </w:pPr>
                            <w:r w:rsidRPr="00C15F32">
                              <w:rPr>
                                <w:rFonts w:ascii="Arial Black" w:hAnsi="Arial Black" w:cs="Arial"/>
                                <w:sz w:val="96"/>
                                <w:szCs w:val="96"/>
                              </w:rPr>
                              <w:t>www.ora.ca.gov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5319" o:spid="_x0000_s1066" type="#_x0000_t202" style="position:absolute;margin-left:70.35pt;margin-top:322.5pt;width:463.95pt;height:77.65pt;z-index:25179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" filled="f" stroked="f" strokeweight=".5pt">
                <v:textbox>
                  <w:txbxContent>
                    <w:p w:rsidR="00CE6E80" w:rsidRPr="00C15F32" w:rsidRDefault="00CE6E80">
                      <w:pPr>
                        <w:rPr>
                          <w:rFonts w:ascii="Arial Black" w:hAnsi="Arial Black" w:cs="Arial"/>
                          <w:sz w:val="96"/>
                          <w:szCs w:val="96"/>
                        </w:rPr>
                      </w:pPr>
                      <w:r w:rsidRPr="00C15F32">
                        <w:rPr>
                          <w:rFonts w:ascii="Arial Black" w:hAnsi="Arial Black" w:cs="Arial"/>
                          <w:sz w:val="96"/>
                          <w:szCs w:val="96"/>
                        </w:rPr>
                        <w:t>www.ora.ca.gov</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94944" behindDoc="1" locked="0" layoutInCell="1" allowOverlap="1" wp14:anchorId="443EEE6E" wp14:editId="3D4DCD39">
                <wp:simplePos x="0" y="0"/>
                <wp:positionH relativeFrom="column">
                  <wp:posOffset>-3375936</wp:posOffset>
                </wp:positionH>
                <wp:positionV relativeFrom="paragraph">
                  <wp:posOffset>2261870</wp:posOffset>
                </wp:positionV>
                <wp:extent cx="5908303" cy="5650302"/>
                <wp:effectExtent l="0" t="0" r="0" b="7620"/>
                <wp:wrapNone/>
                <wp:docPr id="5318" name="Oval 5318"/>
                <wp:cNvGraphicFramePr/>
                <a:graphic xmlns:a="http://schemas.openxmlformats.org/drawingml/2006/main">
                  <a:graphicData uri="http://schemas.microsoft.com/office/word/2010/wordprocessingShape">
                    <wps:wsp>
                      <wps:cNvSpPr/>
                      <wps:spPr>
                        <a:xfrm>
                          <a:off x="0" y="0"/>
                          <a:ext cx="5908303" cy="5650302"/>
                        </a:xfrm>
                        <a:prstGeom prst="ellipse">
                          <a:avLst/>
                        </a:prstGeom>
                        <a:solidFill>
                          <a:srgbClr val="DCE6F2">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5318" o:spid="_x0000_s1026" style="position:absolute;margin-left:-265.8pt;margin-top:178.1pt;width:465.2pt;height:444.9pt;z-index:-25152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" fillcolor="#dce6f2" stroked="f" strokeweight="2pt">
                <v:fill opacity="32896f"/>
              </v:oval>
            </w:pict>
          </mc:Fallback>
        </mc:AlternateContent>
      </w:r>
    </w:p>
    <w:sectPr w:rsidR="00DD6CB0" w:rsidRPr="00720D4F" w:rsidSect="006F74F7">
      <w:headerReference w:type="even" r:id="rId59"/>
      <w:headerReference w:type="default" r:id="rId60"/>
      <w:footerReference w:type="even" r:id="rId61"/>
      <w:type w:val="continuous"/>
      <w:pgSz w:w="12240" w:h="15840" w:code="1"/>
      <w:pgMar w:top="720" w:right="936" w:bottom="720" w:left="936" w:header="720" w:footer="720" w:gutter="0"/>
      <w:cols w:space="57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075" w:rsidRDefault="00A32075">
      <w:r>
        <w:separator/>
      </w:r>
    </w:p>
  </w:endnote>
  <w:endnote w:type="continuationSeparator" w:id="0">
    <w:p w:rsidR="00A32075" w:rsidRDefault="00A3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rus BT Roman">
    <w:altName w:val="Arial Narrow"/>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roman"/>
    <w:pitch w:val="variable"/>
    <w:sig w:usb0="00000007" w:usb1="00000000" w:usb2="00000000" w:usb3="00000000" w:csb0="00000093" w:csb1="00000000"/>
  </w:font>
  <w:font w:name="ヒラギノ角ゴ Pro W3">
    <w:charset w:val="80"/>
    <w:family w:val="auto"/>
    <w:pitch w:val="variable"/>
    <w:sig w:usb0="E00002FF" w:usb1="7AC7FFFF" w:usb2="00000012" w:usb3="00000000" w:csb0="0002000D" w:csb1="00000000"/>
  </w:font>
  <w:font w:name="Calibri">
    <w:panose1 w:val="020F0502020204030204"/>
    <w:charset w:val="00"/>
    <w:family w:val="swiss"/>
    <w:pitch w:val="variable"/>
    <w:sig w:usb0="E00002FF" w:usb1="4000ACFF" w:usb2="00000001" w:usb3="00000000" w:csb0="0000019F" w:csb1="00000000"/>
  </w:font>
  <w:font w:name="Futura-Light">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dobe Garamond Pro">
    <w:altName w:val="Times New Roman"/>
    <w:charset w:val="00"/>
    <w:family w:val="auto"/>
    <w:pitch w:val="variable"/>
    <w:sig w:usb0="00000001" w:usb1="00000001" w:usb2="00000000" w:usb3="00000000" w:csb0="00000093" w:csb1="00000000"/>
  </w:font>
  <w:font w:name="Neuropol">
    <w:altName w:val="Calibri"/>
    <w:charset w:val="00"/>
    <w:family w:val="swiss"/>
    <w:pitch w:val="variable"/>
    <w:sig w:usb0="00000001" w:usb1="1000000A" w:usb2="00000000" w:usb3="00000000" w:csb0="0000011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Gautami">
    <w:panose1 w:val="020B0502040204020203"/>
    <w:charset w:val="00"/>
    <w:family w:val="swiss"/>
    <w:pitch w:val="variable"/>
    <w:sig w:usb0="002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Kalinga">
    <w:panose1 w:val="020B0502040204020203"/>
    <w:charset w:val="00"/>
    <w:family w:val="swiss"/>
    <w:pitch w:val="variable"/>
    <w:sig w:usb0="00080003" w:usb1="00000000" w:usb2="00000000" w:usb3="00000000" w:csb0="00000001" w:csb1="00000000"/>
  </w:font>
  <w:font w:name="Adobe Heiti Std R">
    <w:charset w:val="86"/>
    <w:family w:val="auto"/>
    <w:pitch w:val="variable"/>
    <w:sig w:usb0="00000001"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E80" w:rsidRDefault="00CE6E80">
    <w:pPr>
      <w:pStyle w:val="Footer"/>
    </w:pPr>
    <w:r>
      <w:t>[Type text]</w:t>
    </w:r>
  </w:p>
  <w:p w:rsidR="00CE6E80" w:rsidRPr="007F5D09" w:rsidRDefault="00CE6E80" w:rsidP="00786B72">
    <w:pPr>
      <w:pStyle w:val="Footer"/>
      <w:ind w:right="360" w:firstLine="360"/>
      <w:rPr>
        <w:rFonts w:ascii="Adobe Garamond Pro" w:hAnsi="Adobe Garamond Pro"/>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E80" w:rsidRPr="008B0DE1" w:rsidRDefault="00CE6E80">
    <w:pPr>
      <w:pStyle w:val="Footer"/>
      <w:pBdr>
        <w:top w:val="single" w:sz="4" w:space="1" w:color="D9D9D9" w:themeColor="background1" w:themeShade="D9"/>
      </w:pBdr>
      <w:jc w:val="right"/>
      <w:rPr>
        <w:rFonts w:ascii="Arial" w:hAnsi="Arial" w:cs="Arial"/>
        <w:sz w:val="18"/>
        <w:szCs w:val="18"/>
      </w:rPr>
    </w:pPr>
  </w:p>
  <w:p w:rsidR="00CE6E80" w:rsidRDefault="00CE6E8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E80" w:rsidRDefault="00CE6E80" w:rsidP="00B654C6">
    <w:pPr>
      <w:pStyle w:val="Footer"/>
      <w:tabs>
        <w:tab w:val="clear" w:pos="8640"/>
      </w:tabs>
      <w:spacing w:before="60"/>
      <w:rPr>
        <w:color w:val="365F91" w:themeColor="accent1" w:themeShade="BF"/>
      </w:rPr>
    </w:pPr>
    <w:r>
      <w:rPr>
        <w:rFonts w:ascii="Arial" w:hAnsi="Arial" w:cs="Arial"/>
        <w:noProof/>
        <w:sz w:val="18"/>
        <w:szCs w:val="18"/>
      </w:rPr>
      <mc:AlternateContent>
        <mc:Choice Requires="wps">
          <w:drawing>
            <wp:anchor distT="0" distB="0" distL="114300" distR="114300" simplePos="0" relativeHeight="251663360" behindDoc="0" locked="0" layoutInCell="1" allowOverlap="1" wp14:anchorId="5F327F8D" wp14:editId="2F541DB0">
              <wp:simplePos x="0" y="0"/>
              <wp:positionH relativeFrom="column">
                <wp:posOffset>-18746</wp:posOffset>
              </wp:positionH>
              <wp:positionV relativeFrom="paragraph">
                <wp:posOffset>48260</wp:posOffset>
              </wp:positionV>
              <wp:extent cx="6607175" cy="0"/>
              <wp:effectExtent l="0" t="0" r="22225" b="19050"/>
              <wp:wrapNone/>
              <wp:docPr id="5165" name="Straight Connector 5165"/>
              <wp:cNvGraphicFramePr/>
              <a:graphic xmlns:a="http://schemas.openxmlformats.org/drawingml/2006/main">
                <a:graphicData uri="http://schemas.microsoft.com/office/word/2010/wordprocessingShape">
                  <wps:wsp>
                    <wps:cNvCnPr/>
                    <wps:spPr>
                      <a:xfrm>
                        <a:off x="0" y="0"/>
                        <a:ext cx="660717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16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3.8pt" to="518.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" strokecolor="#d8d8d8 [2732]"/>
          </w:pict>
        </mc:Fallback>
      </mc:AlternateContent>
    </w:r>
    <w:r>
      <w:rPr>
        <w:color w:val="365F91" w:themeColor="accent1" w:themeShade="BF"/>
      </w:rPr>
      <w:tab/>
    </w:r>
    <w:r>
      <w:rPr>
        <w:color w:val="365F91" w:themeColor="accent1" w:themeShade="BF"/>
      </w:rPr>
      <w:tab/>
    </w:r>
    <w:r>
      <w:rPr>
        <w:color w:val="365F91" w:themeColor="accent1" w:themeShade="BF"/>
      </w:rPr>
      <w:tab/>
    </w:r>
    <w:r>
      <w:rPr>
        <w:color w:val="365F91" w:themeColor="accent1" w:themeShade="BF"/>
      </w:rPr>
      <w:tab/>
    </w:r>
    <w:r>
      <w:rPr>
        <w:color w:val="365F91" w:themeColor="accent1" w:themeShade="BF"/>
      </w:rPr>
      <w:tab/>
    </w:r>
    <w:r>
      <w:rPr>
        <w:color w:val="365F91" w:themeColor="accent1" w:themeShade="BF"/>
      </w:rPr>
      <w:tab/>
    </w:r>
    <w:r>
      <w:rPr>
        <w:color w:val="365F91" w:themeColor="accent1" w:themeShade="BF"/>
      </w:rPr>
      <w:tab/>
    </w:r>
  </w:p>
  <w:p w:rsidR="00CE6E80" w:rsidRPr="003057FC" w:rsidRDefault="00CE6E80" w:rsidP="00B654C6">
    <w:pPr>
      <w:pStyle w:val="Footer"/>
      <w:tabs>
        <w:tab w:val="clear" w:pos="8640"/>
      </w:tabs>
      <w:spacing w:before="60"/>
      <w:rPr>
        <w:rFonts w:ascii="Arial" w:hAnsi="Arial" w:cs="Arial"/>
        <w:color w:val="365F91" w:themeColor="accent1" w:themeShade="BF"/>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E80" w:rsidRPr="00EF2B5D" w:rsidRDefault="00CE6E80">
    <w:pPr>
      <w:pStyle w:val="Footer"/>
      <w:pBdr>
        <w:top w:val="single" w:sz="4" w:space="1" w:color="D9D9D9" w:themeColor="background1" w:themeShade="D9"/>
      </w:pBdr>
      <w:jc w:val="right"/>
      <w:rPr>
        <w:rFonts w:ascii="Arial" w:hAnsi="Arial" w:cs="Arial"/>
        <w:sz w:val="18"/>
        <w:szCs w:val="18"/>
      </w:rPr>
    </w:pPr>
  </w:p>
  <w:p w:rsidR="00CE6E80" w:rsidRDefault="00CE6E8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530822"/>
      <w:docPartObj>
        <w:docPartGallery w:val="Page Numbers (Bottom of Page)"/>
        <w:docPartUnique/>
      </w:docPartObj>
    </w:sdtPr>
    <w:sdtEndPr>
      <w:rPr>
        <w:rFonts w:ascii="Arial" w:hAnsi="Arial" w:cs="Arial"/>
        <w:color w:val="808080" w:themeColor="background1" w:themeShade="80"/>
        <w:spacing w:val="60"/>
        <w:sz w:val="18"/>
        <w:szCs w:val="18"/>
      </w:rPr>
    </w:sdtEndPr>
    <w:sdtContent>
      <w:p w:rsidR="00CE6E80" w:rsidRPr="008B0DE1" w:rsidRDefault="00CE6E80">
        <w:pPr>
          <w:pStyle w:val="Footer"/>
          <w:pBdr>
            <w:top w:val="single" w:sz="4" w:space="1" w:color="D9D9D9" w:themeColor="background1" w:themeShade="D9"/>
          </w:pBdr>
          <w:jc w:val="right"/>
          <w:rPr>
            <w:rFonts w:ascii="Arial" w:hAnsi="Arial" w:cs="Arial"/>
            <w:sz w:val="18"/>
            <w:szCs w:val="18"/>
          </w:rPr>
        </w:pPr>
        <w:r w:rsidRPr="00030CD6">
          <w:rPr>
            <w:rFonts w:ascii="Arial" w:hAnsi="Arial" w:cs="Arial"/>
            <w:b/>
            <w:sz w:val="18"/>
            <w:szCs w:val="18"/>
          </w:rPr>
          <w:fldChar w:fldCharType="begin"/>
        </w:r>
        <w:r w:rsidRPr="00030CD6">
          <w:rPr>
            <w:rFonts w:ascii="Arial" w:hAnsi="Arial" w:cs="Arial"/>
            <w:b/>
            <w:sz w:val="18"/>
            <w:szCs w:val="18"/>
          </w:rPr>
          <w:instrText xml:space="preserve"> PAGE   \* MERGEFORMAT </w:instrText>
        </w:r>
        <w:r w:rsidRPr="00030CD6">
          <w:rPr>
            <w:rFonts w:ascii="Arial" w:hAnsi="Arial" w:cs="Arial"/>
            <w:b/>
            <w:sz w:val="18"/>
            <w:szCs w:val="18"/>
          </w:rPr>
          <w:fldChar w:fldCharType="separate"/>
        </w:r>
        <w:r w:rsidR="00B13EC1">
          <w:rPr>
            <w:rFonts w:ascii="Arial" w:hAnsi="Arial" w:cs="Arial"/>
            <w:b/>
            <w:noProof/>
            <w:sz w:val="18"/>
            <w:szCs w:val="18"/>
          </w:rPr>
          <w:t>1</w:t>
        </w:r>
        <w:r w:rsidRPr="00030CD6">
          <w:rPr>
            <w:rFonts w:ascii="Arial" w:hAnsi="Arial" w:cs="Arial"/>
            <w:b/>
            <w:noProof/>
            <w:sz w:val="18"/>
            <w:szCs w:val="18"/>
          </w:rPr>
          <w:fldChar w:fldCharType="end"/>
        </w:r>
        <w:r w:rsidRPr="00030CD6">
          <w:rPr>
            <w:rFonts w:ascii="Arial" w:hAnsi="Arial" w:cs="Arial"/>
            <w:b/>
            <w:sz w:val="18"/>
            <w:szCs w:val="18"/>
          </w:rPr>
          <w:t xml:space="preserve"> |</w:t>
        </w:r>
        <w:r w:rsidRPr="008B0DE1">
          <w:rPr>
            <w:rFonts w:ascii="Arial" w:hAnsi="Arial" w:cs="Arial"/>
            <w:sz w:val="18"/>
            <w:szCs w:val="18"/>
          </w:rPr>
          <w:t xml:space="preserve"> </w:t>
        </w:r>
        <w:r w:rsidRPr="008B0DE1">
          <w:rPr>
            <w:rFonts w:ascii="Arial" w:hAnsi="Arial" w:cs="Arial"/>
            <w:color w:val="808080" w:themeColor="background1" w:themeShade="80"/>
            <w:spacing w:val="60"/>
            <w:sz w:val="18"/>
            <w:szCs w:val="18"/>
          </w:rPr>
          <w:t>Page</w:t>
        </w:r>
      </w:p>
    </w:sdtContent>
  </w:sdt>
  <w:p w:rsidR="00CE6E80" w:rsidRDefault="00CE6E8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7005380"/>
      <w:docPartObj>
        <w:docPartGallery w:val="Page Numbers (Bottom of Page)"/>
        <w:docPartUnique/>
      </w:docPartObj>
    </w:sdtPr>
    <w:sdtEndPr>
      <w:rPr>
        <w:rFonts w:ascii="Arial" w:hAnsi="Arial" w:cs="Arial"/>
        <w:color w:val="808080" w:themeColor="background1" w:themeShade="80"/>
        <w:spacing w:val="60"/>
        <w:sz w:val="18"/>
        <w:szCs w:val="18"/>
      </w:rPr>
    </w:sdtEndPr>
    <w:sdtContent>
      <w:p w:rsidR="00CE6E80" w:rsidRPr="008B0DE1" w:rsidRDefault="00CE6E80">
        <w:pPr>
          <w:pStyle w:val="Footer"/>
          <w:pBdr>
            <w:top w:val="single" w:sz="4" w:space="1" w:color="D9D9D9" w:themeColor="background1" w:themeShade="D9"/>
          </w:pBdr>
          <w:rPr>
            <w:rFonts w:ascii="Arial" w:hAnsi="Arial" w:cs="Arial"/>
            <w:b/>
            <w:bCs/>
            <w:sz w:val="18"/>
            <w:szCs w:val="18"/>
          </w:rPr>
        </w:pPr>
        <w:r w:rsidRPr="008B0DE1">
          <w:rPr>
            <w:rFonts w:ascii="Arial" w:hAnsi="Arial" w:cs="Arial"/>
            <w:sz w:val="18"/>
            <w:szCs w:val="18"/>
          </w:rPr>
          <w:fldChar w:fldCharType="begin"/>
        </w:r>
        <w:r w:rsidRPr="008B0DE1">
          <w:rPr>
            <w:rFonts w:ascii="Arial" w:hAnsi="Arial" w:cs="Arial"/>
            <w:sz w:val="18"/>
            <w:szCs w:val="18"/>
          </w:rPr>
          <w:instrText xml:space="preserve"> PAGE   \* MERGEFORMAT </w:instrText>
        </w:r>
        <w:r w:rsidRPr="008B0DE1">
          <w:rPr>
            <w:rFonts w:ascii="Arial" w:hAnsi="Arial" w:cs="Arial"/>
            <w:sz w:val="18"/>
            <w:szCs w:val="18"/>
          </w:rPr>
          <w:fldChar w:fldCharType="separate"/>
        </w:r>
        <w:r w:rsidR="00B13EC1" w:rsidRPr="00B13EC1">
          <w:rPr>
            <w:rFonts w:ascii="Arial" w:hAnsi="Arial" w:cs="Arial"/>
            <w:b/>
            <w:bCs/>
            <w:noProof/>
            <w:sz w:val="18"/>
            <w:szCs w:val="18"/>
          </w:rPr>
          <w:t>16</w:t>
        </w:r>
        <w:r w:rsidRPr="008B0DE1">
          <w:rPr>
            <w:rFonts w:ascii="Arial" w:hAnsi="Arial" w:cs="Arial"/>
            <w:b/>
            <w:bCs/>
            <w:noProof/>
            <w:sz w:val="18"/>
            <w:szCs w:val="18"/>
          </w:rPr>
          <w:fldChar w:fldCharType="end"/>
        </w:r>
        <w:r w:rsidRPr="008B0DE1">
          <w:rPr>
            <w:rFonts w:ascii="Arial" w:hAnsi="Arial" w:cs="Arial"/>
            <w:b/>
            <w:bCs/>
            <w:sz w:val="18"/>
            <w:szCs w:val="18"/>
          </w:rPr>
          <w:t xml:space="preserve"> | </w:t>
        </w:r>
        <w:r w:rsidRPr="008B0DE1">
          <w:rPr>
            <w:rFonts w:ascii="Arial" w:hAnsi="Arial" w:cs="Arial"/>
            <w:color w:val="808080" w:themeColor="background1" w:themeShade="80"/>
            <w:spacing w:val="60"/>
            <w:sz w:val="18"/>
            <w:szCs w:val="18"/>
          </w:rPr>
          <w:t>Page</w:t>
        </w:r>
      </w:p>
    </w:sdtContent>
  </w:sdt>
  <w:p w:rsidR="00CE6E80" w:rsidRPr="003057FC" w:rsidRDefault="00CE6E80" w:rsidP="008C6668">
    <w:pPr>
      <w:pStyle w:val="Footer"/>
      <w:pBdr>
        <w:top w:val="single" w:sz="4" w:space="1" w:color="D9D9D9" w:themeColor="background1" w:themeShade="D9"/>
      </w:pBdr>
      <w:tabs>
        <w:tab w:val="clear" w:pos="8640"/>
      </w:tabs>
      <w:rPr>
        <w:rFonts w:ascii="Arial" w:hAnsi="Arial" w:cs="Arial"/>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1204047"/>
      <w:docPartObj>
        <w:docPartGallery w:val="Page Numbers (Bottom of Page)"/>
        <w:docPartUnique/>
      </w:docPartObj>
    </w:sdtPr>
    <w:sdtEndPr>
      <w:rPr>
        <w:rFonts w:ascii="Arial" w:hAnsi="Arial" w:cs="Arial"/>
        <w:color w:val="808080" w:themeColor="background1" w:themeShade="80"/>
        <w:spacing w:val="60"/>
        <w:sz w:val="18"/>
        <w:szCs w:val="18"/>
      </w:rPr>
    </w:sdtEndPr>
    <w:sdtContent>
      <w:p w:rsidR="00CE6E80" w:rsidRPr="00EF2B5D" w:rsidRDefault="00CE6E80">
        <w:pPr>
          <w:pStyle w:val="Footer"/>
          <w:pBdr>
            <w:top w:val="single" w:sz="4" w:space="1" w:color="D9D9D9" w:themeColor="background1" w:themeShade="D9"/>
          </w:pBdr>
          <w:jc w:val="right"/>
          <w:rPr>
            <w:rFonts w:ascii="Arial" w:hAnsi="Arial" w:cs="Arial"/>
            <w:sz w:val="18"/>
            <w:szCs w:val="18"/>
          </w:rPr>
        </w:pPr>
        <w:r w:rsidRPr="00030CD6">
          <w:rPr>
            <w:rFonts w:ascii="Arial" w:hAnsi="Arial" w:cs="Arial"/>
            <w:b/>
            <w:sz w:val="18"/>
            <w:szCs w:val="18"/>
          </w:rPr>
          <w:fldChar w:fldCharType="begin"/>
        </w:r>
        <w:r w:rsidRPr="00030CD6">
          <w:rPr>
            <w:rFonts w:ascii="Arial" w:hAnsi="Arial" w:cs="Arial"/>
            <w:b/>
            <w:sz w:val="18"/>
            <w:szCs w:val="18"/>
          </w:rPr>
          <w:instrText xml:space="preserve"> PAGE   \* MERGEFORMAT </w:instrText>
        </w:r>
        <w:r w:rsidRPr="00030CD6">
          <w:rPr>
            <w:rFonts w:ascii="Arial" w:hAnsi="Arial" w:cs="Arial"/>
            <w:b/>
            <w:sz w:val="18"/>
            <w:szCs w:val="18"/>
          </w:rPr>
          <w:fldChar w:fldCharType="separate"/>
        </w:r>
        <w:r w:rsidR="00B13EC1">
          <w:rPr>
            <w:rFonts w:ascii="Arial" w:hAnsi="Arial" w:cs="Arial"/>
            <w:b/>
            <w:noProof/>
            <w:sz w:val="18"/>
            <w:szCs w:val="18"/>
          </w:rPr>
          <w:t>27</w:t>
        </w:r>
        <w:r w:rsidRPr="00030CD6">
          <w:rPr>
            <w:rFonts w:ascii="Arial" w:hAnsi="Arial" w:cs="Arial"/>
            <w:b/>
            <w:noProof/>
            <w:sz w:val="18"/>
            <w:szCs w:val="18"/>
          </w:rPr>
          <w:fldChar w:fldCharType="end"/>
        </w:r>
        <w:r w:rsidRPr="00030CD6">
          <w:rPr>
            <w:rFonts w:ascii="Arial" w:hAnsi="Arial" w:cs="Arial"/>
            <w:b/>
            <w:sz w:val="18"/>
            <w:szCs w:val="18"/>
          </w:rPr>
          <w:t xml:space="preserve"> |</w:t>
        </w:r>
        <w:r w:rsidRPr="00EF2B5D">
          <w:rPr>
            <w:rFonts w:ascii="Arial" w:hAnsi="Arial" w:cs="Arial"/>
            <w:sz w:val="18"/>
            <w:szCs w:val="18"/>
          </w:rPr>
          <w:t xml:space="preserve"> </w:t>
        </w:r>
        <w:r w:rsidRPr="00EF2B5D">
          <w:rPr>
            <w:rFonts w:ascii="Arial" w:hAnsi="Arial" w:cs="Arial"/>
            <w:color w:val="808080" w:themeColor="background1" w:themeShade="80"/>
            <w:spacing w:val="60"/>
            <w:sz w:val="18"/>
            <w:szCs w:val="18"/>
          </w:rPr>
          <w:t>Page</w:t>
        </w:r>
      </w:p>
    </w:sdtContent>
  </w:sdt>
  <w:p w:rsidR="00CE6E80" w:rsidRDefault="00CE6E8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E80" w:rsidRPr="003057FC" w:rsidRDefault="00A32075" w:rsidP="00106DE4">
    <w:pPr>
      <w:pStyle w:val="Footer"/>
      <w:pBdr>
        <w:top w:val="single" w:sz="4" w:space="1" w:color="D9D9D9" w:themeColor="background1" w:themeShade="D9"/>
      </w:pBdr>
      <w:tabs>
        <w:tab w:val="clear" w:pos="8640"/>
      </w:tabs>
      <w:rPr>
        <w:rFonts w:ascii="Arial" w:hAnsi="Arial" w:cs="Arial"/>
        <w:bCs/>
        <w:sz w:val="18"/>
        <w:szCs w:val="18"/>
      </w:rPr>
    </w:pPr>
    <w:sdt>
      <w:sdtPr>
        <w:rPr>
          <w:rFonts w:ascii="Arial" w:hAnsi="Arial" w:cs="Arial"/>
          <w:sz w:val="18"/>
          <w:szCs w:val="18"/>
        </w:rPr>
        <w:id w:val="960464226"/>
        <w:docPartObj>
          <w:docPartGallery w:val="Page Numbers (Bottom of Page)"/>
          <w:docPartUnique/>
        </w:docPartObj>
      </w:sdtPr>
      <w:sdtEndPr>
        <w:rPr>
          <w:color w:val="808080" w:themeColor="background1" w:themeShade="80"/>
          <w:spacing w:val="60"/>
        </w:rPr>
      </w:sdtEndPr>
      <w:sdtContent>
        <w:r w:rsidR="00CE6E80" w:rsidRPr="005D15F4">
          <w:rPr>
            <w:rFonts w:ascii="Arial" w:hAnsi="Arial" w:cs="Arial"/>
            <w:b/>
            <w:sz w:val="18"/>
            <w:szCs w:val="18"/>
          </w:rPr>
          <w:fldChar w:fldCharType="begin"/>
        </w:r>
        <w:r w:rsidR="00CE6E80" w:rsidRPr="005D15F4">
          <w:rPr>
            <w:rFonts w:ascii="Arial" w:hAnsi="Arial" w:cs="Arial"/>
            <w:b/>
            <w:sz w:val="18"/>
            <w:szCs w:val="18"/>
          </w:rPr>
          <w:instrText xml:space="preserve"> PAGE   \* MERGEFORMAT </w:instrText>
        </w:r>
        <w:r w:rsidR="00CE6E80" w:rsidRPr="005D15F4">
          <w:rPr>
            <w:rFonts w:ascii="Arial" w:hAnsi="Arial" w:cs="Arial"/>
            <w:b/>
            <w:sz w:val="18"/>
            <w:szCs w:val="18"/>
          </w:rPr>
          <w:fldChar w:fldCharType="separate"/>
        </w:r>
        <w:r w:rsidR="00B13EC1">
          <w:rPr>
            <w:rFonts w:ascii="Arial" w:hAnsi="Arial" w:cs="Arial"/>
            <w:b/>
            <w:noProof/>
            <w:sz w:val="18"/>
            <w:szCs w:val="18"/>
          </w:rPr>
          <w:t>26</w:t>
        </w:r>
        <w:r w:rsidR="00CE6E80" w:rsidRPr="005D15F4">
          <w:rPr>
            <w:rFonts w:ascii="Arial" w:hAnsi="Arial" w:cs="Arial"/>
            <w:b/>
            <w:noProof/>
            <w:sz w:val="18"/>
            <w:szCs w:val="18"/>
          </w:rPr>
          <w:fldChar w:fldCharType="end"/>
        </w:r>
        <w:r w:rsidR="00CE6E80" w:rsidRPr="003057FC">
          <w:rPr>
            <w:rFonts w:ascii="Arial" w:hAnsi="Arial" w:cs="Arial"/>
            <w:sz w:val="18"/>
            <w:szCs w:val="18"/>
          </w:rPr>
          <w:t xml:space="preserve"> | </w:t>
        </w:r>
        <w:r w:rsidR="00CE6E80" w:rsidRPr="003057FC">
          <w:rPr>
            <w:rFonts w:ascii="Arial" w:hAnsi="Arial" w:cs="Arial"/>
            <w:color w:val="808080" w:themeColor="background1" w:themeShade="80"/>
            <w:spacing w:val="60"/>
            <w:sz w:val="18"/>
            <w:szCs w:val="18"/>
          </w:rPr>
          <w:t>Page</w:t>
        </w:r>
      </w:sdtContent>
    </w:sdt>
  </w:p>
  <w:p w:rsidR="00CE6E80" w:rsidRPr="003057FC" w:rsidRDefault="00CE6E80" w:rsidP="00AA4D08">
    <w:pPr>
      <w:pStyle w:val="Footer"/>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075" w:rsidRDefault="00A32075">
      <w:r>
        <w:separator/>
      </w:r>
    </w:p>
  </w:footnote>
  <w:footnote w:type="continuationSeparator" w:id="0">
    <w:p w:rsidR="00A32075" w:rsidRDefault="00A32075">
      <w:r>
        <w:continuationSeparator/>
      </w:r>
    </w:p>
  </w:footnote>
  <w:footnote w:id="1">
    <w:p w:rsidR="00CE6E80" w:rsidRDefault="00CE6E80" w:rsidP="00972055">
      <w:pPr>
        <w:pStyle w:val="FootnoteText"/>
      </w:pPr>
      <w:r>
        <w:rPr>
          <w:rStyle w:val="FootnoteReference"/>
        </w:rPr>
        <w:footnoteRef/>
      </w:r>
      <w:r>
        <w:t xml:space="preserve"> </w:t>
      </w:r>
      <w:r w:rsidRPr="00375E29">
        <w:rPr>
          <w:rFonts w:ascii="Arial" w:hAnsi="Arial" w:cs="Arial"/>
          <w:sz w:val="18"/>
        </w:rPr>
        <w:t>Public Utilities Code Section 309.5(a).</w:t>
      </w:r>
    </w:p>
  </w:footnote>
  <w:footnote w:id="2">
    <w:p w:rsidR="00CE6E80" w:rsidRPr="00095135" w:rsidRDefault="00CE6E80" w:rsidP="00972055">
      <w:pPr>
        <w:pStyle w:val="FootnoteText"/>
        <w:rPr>
          <w:rFonts w:ascii="Arial" w:hAnsi="Arial" w:cs="Arial"/>
          <w:sz w:val="18"/>
          <w:szCs w:val="18"/>
        </w:rPr>
      </w:pPr>
      <w:r w:rsidRPr="00095135">
        <w:rPr>
          <w:rStyle w:val="FootnoteReference"/>
          <w:rFonts w:ascii="Arial" w:hAnsi="Arial" w:cs="Arial"/>
          <w:sz w:val="18"/>
          <w:szCs w:val="18"/>
        </w:rPr>
        <w:footnoteRef/>
      </w:r>
      <w:r w:rsidRPr="00095135">
        <w:rPr>
          <w:rFonts w:ascii="Arial" w:hAnsi="Arial" w:cs="Arial"/>
          <w:sz w:val="18"/>
          <w:szCs w:val="18"/>
        </w:rPr>
        <w:t xml:space="preserve"> Public Utilities Code Section 309.5 (g).</w:t>
      </w:r>
    </w:p>
  </w:footnote>
  <w:footnote w:id="3">
    <w:p w:rsidR="00CE6E80" w:rsidRPr="00055DFD" w:rsidRDefault="00CE6E80" w:rsidP="00315B52">
      <w:pPr>
        <w:pStyle w:val="FootnoteText"/>
        <w:spacing w:after="120"/>
        <w:rPr>
          <w:rFonts w:ascii="Arial" w:hAnsi="Arial" w:cs="Arial"/>
          <w:sz w:val="18"/>
          <w:szCs w:val="18"/>
        </w:rPr>
      </w:pPr>
      <w:r w:rsidRPr="00055DFD">
        <w:rPr>
          <w:rStyle w:val="FootnoteReference"/>
          <w:rFonts w:ascii="Arial" w:hAnsi="Arial" w:cs="Arial"/>
          <w:sz w:val="18"/>
          <w:szCs w:val="18"/>
        </w:rPr>
        <w:footnoteRef/>
      </w:r>
      <w:r w:rsidRPr="00055DFD">
        <w:rPr>
          <w:rFonts w:ascii="Arial" w:hAnsi="Arial" w:cs="Arial"/>
          <w:sz w:val="18"/>
          <w:szCs w:val="18"/>
        </w:rPr>
        <w:t xml:space="preserve"> This report is submitted in compliance with Section 309.5 (f) and (g) of the Public Utilities Code.</w:t>
      </w:r>
    </w:p>
  </w:footnote>
  <w:footnote w:id="4">
    <w:p w:rsidR="00CE6E80" w:rsidRPr="00055DFD" w:rsidRDefault="00CE6E80" w:rsidP="00315B52">
      <w:pPr>
        <w:pStyle w:val="FootnoteText"/>
        <w:spacing w:after="120"/>
        <w:rPr>
          <w:rFonts w:ascii="Arial" w:hAnsi="Arial" w:cs="Arial"/>
          <w:sz w:val="18"/>
          <w:szCs w:val="18"/>
        </w:rPr>
      </w:pPr>
      <w:r w:rsidRPr="00055DFD">
        <w:rPr>
          <w:rStyle w:val="FootnoteReference"/>
          <w:rFonts w:ascii="Arial" w:hAnsi="Arial" w:cs="Arial"/>
          <w:sz w:val="18"/>
          <w:szCs w:val="18"/>
        </w:rPr>
        <w:footnoteRef/>
      </w:r>
      <w:r w:rsidRPr="00055DFD">
        <w:rPr>
          <w:rFonts w:ascii="Arial" w:hAnsi="Arial" w:cs="Arial"/>
          <w:sz w:val="18"/>
          <w:szCs w:val="18"/>
        </w:rPr>
        <w:t xml:space="preserve"> </w:t>
      </w:r>
      <w:r w:rsidRPr="00055DFD">
        <w:rPr>
          <w:rFonts w:ascii="Arial" w:hAnsi="Arial" w:cs="Arial"/>
          <w:iCs/>
          <w:sz w:val="18"/>
          <w:szCs w:val="18"/>
        </w:rPr>
        <w:t>Except for the Chief Counsel position which was authorized by Senate Bill 608, the CPUC Legal Division assigns attorneys</w:t>
      </w:r>
      <w:r>
        <w:rPr>
          <w:rFonts w:ascii="Arial" w:hAnsi="Arial" w:cs="Arial"/>
          <w:iCs/>
          <w:sz w:val="18"/>
          <w:szCs w:val="18"/>
        </w:rPr>
        <w:t xml:space="preserve"> and support staff</w:t>
      </w:r>
      <w:r w:rsidRPr="00055DFD">
        <w:rPr>
          <w:rFonts w:ascii="Arial" w:hAnsi="Arial" w:cs="Arial"/>
          <w:iCs/>
          <w:sz w:val="18"/>
          <w:szCs w:val="18"/>
        </w:rPr>
        <w:t xml:space="preserve"> to </w:t>
      </w:r>
      <w:r>
        <w:rPr>
          <w:rFonts w:ascii="Arial" w:hAnsi="Arial" w:cs="Arial"/>
          <w:iCs/>
          <w:sz w:val="18"/>
          <w:szCs w:val="18"/>
        </w:rPr>
        <w:t>aid</w:t>
      </w:r>
      <w:r w:rsidRPr="00055DFD">
        <w:rPr>
          <w:rFonts w:ascii="Arial" w:hAnsi="Arial" w:cs="Arial"/>
          <w:iCs/>
          <w:sz w:val="18"/>
          <w:szCs w:val="18"/>
        </w:rPr>
        <w:t xml:space="preserve"> ORA’s staff in litigation matters. These </w:t>
      </w:r>
      <w:r>
        <w:rPr>
          <w:rFonts w:ascii="Arial" w:hAnsi="Arial" w:cs="Arial"/>
          <w:iCs/>
          <w:sz w:val="18"/>
          <w:szCs w:val="18"/>
        </w:rPr>
        <w:t xml:space="preserve">legal resources, including their overhead, salaries, and benefits </w:t>
      </w:r>
      <w:r w:rsidRPr="00055DFD">
        <w:rPr>
          <w:rFonts w:ascii="Arial" w:hAnsi="Arial" w:cs="Arial"/>
          <w:iCs/>
          <w:sz w:val="18"/>
          <w:szCs w:val="18"/>
        </w:rPr>
        <w:t>are</w:t>
      </w:r>
      <w:r>
        <w:rPr>
          <w:rFonts w:ascii="Arial" w:hAnsi="Arial" w:cs="Arial"/>
          <w:iCs/>
          <w:sz w:val="18"/>
          <w:szCs w:val="18"/>
        </w:rPr>
        <w:t xml:space="preserve"> paid for out of </w:t>
      </w:r>
      <w:r w:rsidRPr="00055DFD">
        <w:rPr>
          <w:rFonts w:ascii="Arial" w:hAnsi="Arial" w:cs="Arial"/>
          <w:iCs/>
          <w:sz w:val="18"/>
          <w:szCs w:val="18"/>
        </w:rPr>
        <w:t>ORA</w:t>
      </w:r>
      <w:r>
        <w:rPr>
          <w:rFonts w:ascii="Arial" w:hAnsi="Arial" w:cs="Arial"/>
          <w:iCs/>
          <w:sz w:val="18"/>
          <w:szCs w:val="18"/>
        </w:rPr>
        <w:t xml:space="preserve">’s Program Account 3089, </w:t>
      </w:r>
      <w:r w:rsidRPr="00055DFD">
        <w:rPr>
          <w:rFonts w:ascii="Arial" w:hAnsi="Arial" w:cs="Arial"/>
          <w:iCs/>
          <w:sz w:val="18"/>
          <w:szCs w:val="18"/>
        </w:rPr>
        <w:t xml:space="preserve">but are not ORA staff. </w:t>
      </w:r>
      <w:r>
        <w:rPr>
          <w:rFonts w:ascii="Arial" w:hAnsi="Arial" w:cs="Arial"/>
          <w:iCs/>
          <w:sz w:val="18"/>
          <w:szCs w:val="18"/>
        </w:rPr>
        <w:t>ORA’s budget amount includes t</w:t>
      </w:r>
      <w:r w:rsidRPr="00055DFD">
        <w:rPr>
          <w:rFonts w:ascii="Arial" w:hAnsi="Arial" w:cs="Arial"/>
          <w:iCs/>
          <w:sz w:val="18"/>
          <w:szCs w:val="18"/>
        </w:rPr>
        <w:t xml:space="preserve">he </w:t>
      </w:r>
      <w:r>
        <w:rPr>
          <w:rFonts w:ascii="Arial" w:hAnsi="Arial" w:cs="Arial"/>
          <w:iCs/>
          <w:sz w:val="18"/>
          <w:szCs w:val="18"/>
        </w:rPr>
        <w:t xml:space="preserve">anticipated overhead </w:t>
      </w:r>
      <w:r w:rsidRPr="00055DFD">
        <w:rPr>
          <w:rFonts w:ascii="Arial" w:hAnsi="Arial" w:cs="Arial"/>
          <w:iCs/>
          <w:sz w:val="18"/>
          <w:szCs w:val="18"/>
        </w:rPr>
        <w:t xml:space="preserve">cost for </w:t>
      </w:r>
      <w:r>
        <w:rPr>
          <w:rFonts w:ascii="Arial" w:hAnsi="Arial" w:cs="Arial"/>
          <w:iCs/>
          <w:sz w:val="18"/>
          <w:szCs w:val="18"/>
        </w:rPr>
        <w:t xml:space="preserve">these </w:t>
      </w:r>
      <w:r w:rsidRPr="00055DFD">
        <w:rPr>
          <w:rFonts w:ascii="Arial" w:hAnsi="Arial" w:cs="Arial"/>
          <w:iCs/>
          <w:sz w:val="18"/>
          <w:szCs w:val="18"/>
        </w:rPr>
        <w:t>legal resources</w:t>
      </w:r>
      <w:r>
        <w:rPr>
          <w:rFonts w:ascii="Arial" w:hAnsi="Arial" w:cs="Arial"/>
          <w:iCs/>
          <w:sz w:val="18"/>
          <w:szCs w:val="18"/>
        </w:rPr>
        <w:t>,</w:t>
      </w:r>
      <w:r w:rsidRPr="00055DFD">
        <w:rPr>
          <w:rFonts w:ascii="Arial" w:hAnsi="Arial" w:cs="Arial"/>
          <w:iCs/>
          <w:sz w:val="18"/>
          <w:szCs w:val="18"/>
        </w:rPr>
        <w:t xml:space="preserve"> </w:t>
      </w:r>
      <w:r>
        <w:rPr>
          <w:rFonts w:ascii="Arial" w:hAnsi="Arial" w:cs="Arial"/>
          <w:iCs/>
          <w:sz w:val="18"/>
          <w:szCs w:val="18"/>
        </w:rPr>
        <w:t xml:space="preserve">but does not include the anticipated cost for salaries and benefits. </w:t>
      </w:r>
    </w:p>
  </w:footnote>
  <w:footnote w:id="5">
    <w:p w:rsidR="00CE6E80" w:rsidRPr="00FB253D" w:rsidRDefault="00CE6E80" w:rsidP="00030CD6">
      <w:pPr>
        <w:pStyle w:val="FootnoteText"/>
        <w:spacing w:after="60"/>
        <w:rPr>
          <w:rFonts w:ascii="Arial" w:hAnsi="Arial" w:cs="Arial"/>
          <w:sz w:val="18"/>
        </w:rPr>
      </w:pPr>
      <w:r w:rsidRPr="00FB253D">
        <w:rPr>
          <w:rStyle w:val="FootnoteReference"/>
          <w:rFonts w:ascii="Arial" w:hAnsi="Arial" w:cs="Arial"/>
          <w:sz w:val="18"/>
        </w:rPr>
        <w:footnoteRef/>
      </w:r>
      <w:r w:rsidRPr="00FB253D">
        <w:rPr>
          <w:rFonts w:ascii="Arial" w:hAnsi="Arial" w:cs="Arial"/>
          <w:sz w:val="18"/>
        </w:rPr>
        <w:t xml:space="preserve"> </w:t>
      </w:r>
      <w:r>
        <w:rPr>
          <w:rFonts w:ascii="Arial" w:hAnsi="Arial" w:cs="Arial"/>
          <w:sz w:val="18"/>
        </w:rPr>
        <w:t xml:space="preserve">Public Utilities Regulatory Analyst. </w:t>
      </w:r>
    </w:p>
  </w:footnote>
  <w:footnote w:id="6">
    <w:p w:rsidR="00CE6E80" w:rsidRPr="00055DFD" w:rsidRDefault="00CE6E80" w:rsidP="00315B52">
      <w:pPr>
        <w:spacing w:after="120"/>
        <w:rPr>
          <w:rFonts w:ascii="Arial" w:hAnsi="Arial" w:cs="Arial"/>
          <w:sz w:val="18"/>
          <w:szCs w:val="16"/>
        </w:rPr>
      </w:pPr>
      <w:r w:rsidRPr="00055DFD">
        <w:rPr>
          <w:rStyle w:val="FootnoteReference"/>
          <w:rFonts w:ascii="Arial" w:hAnsi="Arial" w:cs="Arial"/>
          <w:sz w:val="18"/>
          <w:szCs w:val="16"/>
        </w:rPr>
        <w:footnoteRef/>
      </w:r>
      <w:r w:rsidR="0097554F">
        <w:rPr>
          <w:rFonts w:ascii="Arial" w:hAnsi="Arial" w:cs="Arial"/>
          <w:sz w:val="18"/>
          <w:szCs w:val="16"/>
        </w:rPr>
        <w:t xml:space="preserve"> ORA has additional</w:t>
      </w:r>
      <w:r w:rsidRPr="00055DFD">
        <w:rPr>
          <w:rFonts w:ascii="Arial" w:hAnsi="Arial" w:cs="Arial"/>
          <w:sz w:val="18"/>
          <w:szCs w:val="16"/>
        </w:rPr>
        <w:t xml:space="preserve"> </w:t>
      </w:r>
      <w:r w:rsidR="0097554F" w:rsidRPr="00055DFD">
        <w:rPr>
          <w:rFonts w:ascii="Arial" w:hAnsi="Arial" w:cs="Arial"/>
          <w:sz w:val="18"/>
          <w:szCs w:val="16"/>
        </w:rPr>
        <w:t>budget</w:t>
      </w:r>
      <w:r w:rsidR="0097554F">
        <w:rPr>
          <w:rFonts w:ascii="Arial" w:hAnsi="Arial" w:cs="Arial"/>
          <w:sz w:val="18"/>
          <w:szCs w:val="16"/>
        </w:rPr>
        <w:t xml:space="preserve"> </w:t>
      </w:r>
      <w:r w:rsidRPr="00055DFD">
        <w:rPr>
          <w:rFonts w:ascii="Arial" w:hAnsi="Arial" w:cs="Arial"/>
          <w:sz w:val="18"/>
          <w:szCs w:val="16"/>
        </w:rPr>
        <w:t xml:space="preserve">authorization for reimbursable contracts. ORA is reimbursed for these costs by the relevant utilities. </w:t>
      </w:r>
      <w:r w:rsidRPr="009731EF">
        <w:rPr>
          <w:rFonts w:ascii="Arial" w:hAnsi="Arial" w:cs="Arial"/>
          <w:sz w:val="18"/>
          <w:szCs w:val="16"/>
        </w:rPr>
        <w:t>For FY 201</w:t>
      </w:r>
      <w:r w:rsidR="009731EF" w:rsidRPr="009731EF">
        <w:rPr>
          <w:rFonts w:ascii="Arial" w:hAnsi="Arial" w:cs="Arial"/>
          <w:sz w:val="18"/>
          <w:szCs w:val="16"/>
        </w:rPr>
        <w:t>6</w:t>
      </w:r>
      <w:r w:rsidRPr="009731EF">
        <w:rPr>
          <w:rFonts w:ascii="Arial" w:hAnsi="Arial" w:cs="Arial"/>
          <w:sz w:val="18"/>
          <w:szCs w:val="16"/>
        </w:rPr>
        <w:t xml:space="preserve"> / 201</w:t>
      </w:r>
      <w:r w:rsidR="009731EF" w:rsidRPr="009731EF">
        <w:rPr>
          <w:rFonts w:ascii="Arial" w:hAnsi="Arial" w:cs="Arial"/>
          <w:sz w:val="18"/>
          <w:szCs w:val="16"/>
        </w:rPr>
        <w:t>7</w:t>
      </w:r>
      <w:r w:rsidRPr="009731EF">
        <w:rPr>
          <w:rFonts w:ascii="Arial" w:hAnsi="Arial" w:cs="Arial"/>
          <w:sz w:val="18"/>
          <w:szCs w:val="16"/>
        </w:rPr>
        <w:t xml:space="preserve">, the proposed amount </w:t>
      </w:r>
      <w:r w:rsidR="0097554F">
        <w:rPr>
          <w:rFonts w:ascii="Arial" w:hAnsi="Arial" w:cs="Arial"/>
          <w:sz w:val="18"/>
          <w:szCs w:val="16"/>
        </w:rPr>
        <w:t xml:space="preserve">for </w:t>
      </w:r>
      <w:r w:rsidR="0097554F" w:rsidRPr="00055DFD">
        <w:rPr>
          <w:rFonts w:ascii="Arial" w:hAnsi="Arial" w:cs="Arial"/>
          <w:sz w:val="18"/>
          <w:szCs w:val="16"/>
        </w:rPr>
        <w:t>reimbursable contracts</w:t>
      </w:r>
      <w:r w:rsidR="0097554F">
        <w:rPr>
          <w:rFonts w:ascii="Arial" w:hAnsi="Arial" w:cs="Arial"/>
          <w:sz w:val="18"/>
          <w:szCs w:val="16"/>
        </w:rPr>
        <w:t xml:space="preserve"> </w:t>
      </w:r>
      <w:r w:rsidRPr="009731EF">
        <w:rPr>
          <w:rFonts w:ascii="Arial" w:hAnsi="Arial" w:cs="Arial"/>
          <w:sz w:val="18"/>
          <w:szCs w:val="16"/>
        </w:rPr>
        <w:t>is $3,000,000.</w:t>
      </w:r>
      <w:r w:rsidRPr="00055DFD">
        <w:rPr>
          <w:rFonts w:ascii="Arial" w:hAnsi="Arial" w:cs="Arial"/>
          <w:sz w:val="18"/>
          <w:szCs w:val="16"/>
        </w:rPr>
        <w:t> Actual expenditures for reimbursable contracts occur only if there are proceedings that allow for reimbursable contracts. Examples include audits, mergers, and major resource additions, such as the construction of a transmission facility for which ORA may need to contract for expert consultant services to assist ORA in analyzing the utility request or application. In addition, the Department of Finance is currently auditing the CPUC and may have adjustments to the costs ORA is actually incurring that could impact the total budget requirements of ORA.</w:t>
      </w:r>
    </w:p>
  </w:footnote>
  <w:footnote w:id="7">
    <w:p w:rsidR="00CE6E80" w:rsidRPr="00055DFD" w:rsidRDefault="00CE6E80" w:rsidP="008C21EA">
      <w:pPr>
        <w:spacing w:after="120"/>
        <w:rPr>
          <w:rFonts w:ascii="Arial" w:hAnsi="Arial" w:cs="Arial"/>
          <w:sz w:val="18"/>
          <w:szCs w:val="16"/>
        </w:rPr>
      </w:pPr>
      <w:r w:rsidRPr="00CD7F57">
        <w:rPr>
          <w:rStyle w:val="FootnoteReference"/>
          <w:rFonts w:ascii="Arial" w:hAnsi="Arial" w:cs="Arial"/>
          <w:sz w:val="18"/>
          <w:szCs w:val="16"/>
        </w:rPr>
        <w:footnoteRef/>
      </w:r>
      <w:r w:rsidRPr="00CD7F57">
        <w:rPr>
          <w:rFonts w:ascii="Arial" w:hAnsi="Arial" w:cs="Arial"/>
          <w:sz w:val="18"/>
          <w:szCs w:val="16"/>
        </w:rPr>
        <w:t xml:space="preserve"> ORA</w:t>
      </w:r>
      <w:r>
        <w:rPr>
          <w:rFonts w:ascii="Arial" w:hAnsi="Arial" w:cs="Arial"/>
          <w:sz w:val="18"/>
          <w:szCs w:val="16"/>
        </w:rPr>
        <w:t>’s 2015 / 2016</w:t>
      </w:r>
      <w:r w:rsidRPr="00CD7F57">
        <w:rPr>
          <w:rFonts w:ascii="Arial" w:hAnsi="Arial" w:cs="Arial"/>
          <w:sz w:val="18"/>
          <w:szCs w:val="16"/>
        </w:rPr>
        <w:t xml:space="preserve"> budget increased due to the addition of five (5) new positions, which were required to adapt to </w:t>
      </w:r>
      <w:r>
        <w:rPr>
          <w:rFonts w:ascii="Arial" w:hAnsi="Arial" w:cs="Arial"/>
          <w:sz w:val="18"/>
          <w:szCs w:val="16"/>
        </w:rPr>
        <w:t xml:space="preserve">the </w:t>
      </w:r>
      <w:r w:rsidRPr="00CD7F57">
        <w:rPr>
          <w:rFonts w:ascii="Arial" w:hAnsi="Arial" w:cs="Arial"/>
          <w:sz w:val="18"/>
          <w:szCs w:val="16"/>
        </w:rPr>
        <w:t>expanded and anticipated safety analysis related to utility programs and proceedings.</w:t>
      </w:r>
      <w:r>
        <w:rPr>
          <w:rFonts w:ascii="Arial" w:hAnsi="Arial" w:cs="Arial"/>
          <w:sz w:val="18"/>
          <w:szCs w:val="16"/>
        </w:rPr>
        <w:t xml:space="preserve"> </w:t>
      </w:r>
    </w:p>
  </w:footnote>
  <w:footnote w:id="8">
    <w:p w:rsidR="00CE6E80" w:rsidRDefault="00CE6E80" w:rsidP="00CD7F57">
      <w:pPr>
        <w:pStyle w:val="FootnoteText"/>
        <w:spacing w:after="120"/>
      </w:pPr>
      <w:r>
        <w:rPr>
          <w:rStyle w:val="FootnoteReference"/>
        </w:rPr>
        <w:footnoteRef/>
      </w:r>
      <w:r>
        <w:t xml:space="preserve"> </w:t>
      </w:r>
      <w:r w:rsidRPr="00CD7F57">
        <w:rPr>
          <w:rFonts w:ascii="Arial" w:hAnsi="Arial" w:cs="Arial"/>
          <w:sz w:val="18"/>
        </w:rPr>
        <w:t>Preliminary 2016</w:t>
      </w:r>
      <w:r>
        <w:rPr>
          <w:rFonts w:ascii="Arial" w:hAnsi="Arial" w:cs="Arial"/>
          <w:sz w:val="18"/>
        </w:rPr>
        <w:t xml:space="preserve"> </w:t>
      </w:r>
      <w:r w:rsidRPr="00CD7F57">
        <w:rPr>
          <w:rFonts w:ascii="Arial" w:hAnsi="Arial" w:cs="Arial"/>
          <w:sz w:val="18"/>
        </w:rPr>
        <w:t>/</w:t>
      </w:r>
      <w:r>
        <w:rPr>
          <w:rFonts w:ascii="Arial" w:hAnsi="Arial" w:cs="Arial"/>
          <w:sz w:val="18"/>
        </w:rPr>
        <w:t xml:space="preserve"> </w:t>
      </w:r>
      <w:r w:rsidRPr="00CD7F57">
        <w:rPr>
          <w:rFonts w:ascii="Arial" w:hAnsi="Arial" w:cs="Arial"/>
          <w:sz w:val="18"/>
        </w:rPr>
        <w:t>2017 proposed governor’s budget.</w:t>
      </w:r>
    </w:p>
  </w:footnote>
  <w:footnote w:id="9">
    <w:p w:rsidR="00CE6E80" w:rsidRDefault="00CE6E80">
      <w:pPr>
        <w:pStyle w:val="FootnoteText"/>
        <w:rPr>
          <w:rFonts w:ascii="Arial" w:hAnsi="Arial" w:cs="Arial"/>
          <w:sz w:val="18"/>
          <w:szCs w:val="18"/>
        </w:rPr>
      </w:pPr>
      <w:r w:rsidRPr="008C6668">
        <w:rPr>
          <w:rStyle w:val="FootnoteReference"/>
          <w:rFonts w:ascii="Arial" w:hAnsi="Arial" w:cs="Arial"/>
          <w:sz w:val="18"/>
          <w:szCs w:val="18"/>
        </w:rPr>
        <w:footnoteRef/>
      </w:r>
      <w:r w:rsidRPr="008C6668">
        <w:rPr>
          <w:rFonts w:ascii="Arial" w:hAnsi="Arial" w:cs="Arial"/>
          <w:sz w:val="18"/>
          <w:szCs w:val="18"/>
        </w:rPr>
        <w:t xml:space="preserve"> Public Utilities Code Section 309.5 (c): The director shall develop a budget for the office that shall be subject to final approval of the Department of Finance. As authorized in the approved budget, the office shall employ personnel and r</w:t>
      </w:r>
      <w:r>
        <w:rPr>
          <w:rFonts w:ascii="Arial" w:hAnsi="Arial" w:cs="Arial"/>
          <w:sz w:val="18"/>
          <w:szCs w:val="18"/>
        </w:rPr>
        <w:t>e</w:t>
      </w:r>
      <w:r w:rsidRPr="008C6668">
        <w:rPr>
          <w:rFonts w:ascii="Arial" w:hAnsi="Arial" w:cs="Arial"/>
          <w:sz w:val="18"/>
          <w:szCs w:val="18"/>
        </w:rPr>
        <w:t>sources, including attorneys and other legal support staff, at a level sufficient to ensure that customer and subscriber interests are effectively represented in all significant proceedings. The office may employ experts necessary to carry out its functions. The director may appoint a lead attorney who shall represent the office, and shall report to and serve at the pleasure of the director. The lead attorney for the office shall obtain adequate legal personnel for the work to be conducted by the office from the commission’s attorney appointed pursuant to Section 307. The commission’s attorney shall timely and appropriately fulfill all requests for legal personnel made by the lead attorney for the office, provided the office has sufficient moneys and positions in its budget for the services requested.</w:t>
      </w:r>
    </w:p>
    <w:p w:rsidR="00CE6E80" w:rsidRPr="008C6668" w:rsidRDefault="00CE6E80">
      <w:pPr>
        <w:pStyle w:val="FootnoteText"/>
        <w:rPr>
          <w:rFonts w:ascii="Arial" w:hAnsi="Arial" w:cs="Arial"/>
          <w:sz w:val="18"/>
          <w:szCs w:val="18"/>
        </w:rPr>
      </w:pPr>
    </w:p>
  </w:footnote>
  <w:footnote w:id="10">
    <w:p w:rsidR="00CE6E80" w:rsidRPr="00055DFD" w:rsidRDefault="00CE6E80" w:rsidP="00315B52">
      <w:pPr>
        <w:autoSpaceDE w:val="0"/>
        <w:autoSpaceDN w:val="0"/>
        <w:adjustRightInd w:val="0"/>
        <w:spacing w:after="120"/>
        <w:rPr>
          <w:rFonts w:ascii="Arial" w:hAnsi="Arial" w:cs="Arial"/>
          <w:sz w:val="18"/>
          <w:szCs w:val="18"/>
        </w:rPr>
      </w:pPr>
      <w:r w:rsidRPr="00055DFD">
        <w:rPr>
          <w:rStyle w:val="FootnoteReference"/>
          <w:rFonts w:ascii="Arial" w:hAnsi="Arial" w:cs="Arial"/>
          <w:sz w:val="18"/>
          <w:szCs w:val="18"/>
        </w:rPr>
        <w:footnoteRef/>
      </w:r>
      <w:r w:rsidRPr="00055DFD">
        <w:rPr>
          <w:rFonts w:ascii="Arial" w:hAnsi="Arial" w:cs="Arial"/>
          <w:sz w:val="18"/>
          <w:szCs w:val="18"/>
        </w:rPr>
        <w:t xml:space="preserve"> A Proceeding is a formal case before the CPUC in which a legal record is developed. It may include an evidentiary hearing with the opportunity to cross-examine witnesses.</w:t>
      </w:r>
    </w:p>
  </w:footnote>
  <w:footnote w:id="11">
    <w:p w:rsidR="00CE6E80" w:rsidRPr="00055DFD" w:rsidRDefault="00CE6E80" w:rsidP="00315B52">
      <w:pPr>
        <w:autoSpaceDE w:val="0"/>
        <w:autoSpaceDN w:val="0"/>
        <w:adjustRightInd w:val="0"/>
        <w:spacing w:after="120"/>
        <w:rPr>
          <w:rFonts w:ascii="Arial" w:hAnsi="Arial" w:cs="Arial"/>
          <w:sz w:val="18"/>
          <w:szCs w:val="18"/>
        </w:rPr>
      </w:pPr>
      <w:r w:rsidRPr="00055DFD">
        <w:rPr>
          <w:rStyle w:val="FootnoteReference"/>
          <w:rFonts w:ascii="Arial" w:hAnsi="Arial" w:cs="Arial"/>
          <w:sz w:val="18"/>
          <w:szCs w:val="18"/>
        </w:rPr>
        <w:footnoteRef/>
      </w:r>
      <w:r w:rsidRPr="00055DFD">
        <w:rPr>
          <w:rFonts w:ascii="Arial" w:hAnsi="Arial" w:cs="Arial"/>
          <w:sz w:val="18"/>
          <w:szCs w:val="18"/>
        </w:rPr>
        <w:t xml:space="preserve"> A Pleading is </w:t>
      </w:r>
      <w:r w:rsidRPr="00055DFD">
        <w:rPr>
          <w:rFonts w:ascii="Arial" w:hAnsi="Arial" w:cs="Arial"/>
          <w:iCs/>
          <w:sz w:val="18"/>
          <w:szCs w:val="18"/>
        </w:rPr>
        <w:t>a legal document filed in a formal proceeding before the CPUC. The CPUC conducts proceedings regarding a wide variety of matters such as applications to raise rates, CPUC investigations, CPUC rulemakings, or complaint cases. In a typical proceeding, pleadings filed by ORA might include a protest to a utility application, a motion for evidentiary hearings, opening and reply briefs, and opening and reply comments on a proposed decision, CPUC rulemaking, or CPUC investigation.</w:t>
      </w:r>
    </w:p>
    <w:p w:rsidR="00CE6E80" w:rsidRPr="00055DFD" w:rsidRDefault="00CE6E80" w:rsidP="00315B52">
      <w:pPr>
        <w:pStyle w:val="FootnoteText"/>
        <w:rPr>
          <w:rFonts w:ascii="Arial" w:hAnsi="Arial" w:cs="Arial"/>
          <w:sz w:val="18"/>
          <w:szCs w:val="18"/>
        </w:rPr>
      </w:pPr>
    </w:p>
  </w:footnote>
  <w:footnote w:id="12">
    <w:p w:rsidR="00CE6E80" w:rsidRPr="00CD71B7" w:rsidRDefault="00CE6E80" w:rsidP="00315B52">
      <w:pPr>
        <w:autoSpaceDE w:val="0"/>
        <w:autoSpaceDN w:val="0"/>
        <w:adjustRightInd w:val="0"/>
        <w:rPr>
          <w:rFonts w:ascii="Arial" w:hAnsi="Arial" w:cs="Arial"/>
          <w:sz w:val="18"/>
          <w:szCs w:val="18"/>
        </w:rPr>
      </w:pPr>
      <w:r w:rsidRPr="00CD71B7">
        <w:rPr>
          <w:rStyle w:val="FootnoteReference"/>
          <w:rFonts w:ascii="Arial" w:hAnsi="Arial" w:cs="Arial"/>
          <w:sz w:val="18"/>
          <w:szCs w:val="18"/>
        </w:rPr>
        <w:footnoteRef/>
      </w:r>
      <w:r w:rsidRPr="00CD71B7">
        <w:rPr>
          <w:rFonts w:ascii="Arial" w:hAnsi="Arial" w:cs="Arial"/>
          <w:sz w:val="18"/>
          <w:szCs w:val="18"/>
        </w:rPr>
        <w:t xml:space="preserve"> An Advice Letter is a filing by a utility seeking authority to spend ratepayer money or set / change policies which may have a significant impact on ra</w:t>
      </w:r>
      <w:r>
        <w:rPr>
          <w:rFonts w:ascii="Arial" w:hAnsi="Arial" w:cs="Arial"/>
          <w:sz w:val="18"/>
          <w:szCs w:val="18"/>
        </w:rPr>
        <w:t>tepayers. Utility requests via A</w:t>
      </w:r>
      <w:r w:rsidRPr="00CD71B7">
        <w:rPr>
          <w:rFonts w:ascii="Arial" w:hAnsi="Arial" w:cs="Arial"/>
          <w:sz w:val="18"/>
          <w:szCs w:val="18"/>
        </w:rPr>
        <w:t xml:space="preserve">dvice </w:t>
      </w:r>
      <w:r>
        <w:rPr>
          <w:rFonts w:ascii="Arial" w:hAnsi="Arial" w:cs="Arial"/>
          <w:sz w:val="18"/>
          <w:szCs w:val="18"/>
        </w:rPr>
        <w:t>L</w:t>
      </w:r>
      <w:r w:rsidRPr="00CD71B7">
        <w:rPr>
          <w:rFonts w:ascii="Arial" w:hAnsi="Arial" w:cs="Arial"/>
          <w:sz w:val="18"/>
          <w:szCs w:val="18"/>
        </w:rPr>
        <w:t>etters are typically authorized by CPUC decision adopted in a formal proceeding, which sets certain paramete</w:t>
      </w:r>
      <w:r>
        <w:rPr>
          <w:rFonts w:ascii="Arial" w:hAnsi="Arial" w:cs="Arial"/>
          <w:sz w:val="18"/>
          <w:szCs w:val="18"/>
        </w:rPr>
        <w:t>rs for determining whether the A</w:t>
      </w:r>
      <w:r w:rsidRPr="00CD71B7">
        <w:rPr>
          <w:rFonts w:ascii="Arial" w:hAnsi="Arial" w:cs="Arial"/>
          <w:sz w:val="18"/>
          <w:szCs w:val="18"/>
        </w:rPr>
        <w:t xml:space="preserve">dvice </w:t>
      </w:r>
      <w:r>
        <w:rPr>
          <w:rFonts w:ascii="Arial" w:hAnsi="Arial" w:cs="Arial"/>
          <w:sz w:val="18"/>
          <w:szCs w:val="18"/>
        </w:rPr>
        <w:t>L</w:t>
      </w:r>
      <w:r w:rsidRPr="00CD71B7">
        <w:rPr>
          <w:rFonts w:ascii="Arial" w:hAnsi="Arial" w:cs="Arial"/>
          <w:sz w:val="18"/>
          <w:szCs w:val="18"/>
        </w:rPr>
        <w:t>etter request is valid and should be granted.</w:t>
      </w:r>
    </w:p>
    <w:p w:rsidR="00CE6E80" w:rsidRPr="00904F72" w:rsidRDefault="00CE6E80" w:rsidP="00315B52">
      <w:pPr>
        <w:autoSpaceDE w:val="0"/>
        <w:autoSpaceDN w:val="0"/>
        <w:adjustRightInd w:val="0"/>
        <w:rPr>
          <w:rFonts w:ascii="Verdana" w:hAnsi="Verdana"/>
          <w:sz w:val="16"/>
          <w:szCs w:val="18"/>
        </w:rPr>
      </w:pPr>
    </w:p>
  </w:footnote>
  <w:footnote w:id="13">
    <w:p w:rsidR="00CE6E80" w:rsidRDefault="00CE6E80" w:rsidP="00315B52">
      <w:pPr>
        <w:pStyle w:val="FootnoteText"/>
        <w:rPr>
          <w:rFonts w:ascii="Arial" w:hAnsi="Arial" w:cs="Arial"/>
          <w:sz w:val="18"/>
          <w:szCs w:val="16"/>
        </w:rPr>
      </w:pPr>
      <w:r w:rsidRPr="00B70BC3">
        <w:rPr>
          <w:rStyle w:val="FootnoteReference"/>
          <w:rFonts w:ascii="Arial" w:hAnsi="Arial" w:cs="Arial"/>
          <w:sz w:val="18"/>
          <w:szCs w:val="16"/>
        </w:rPr>
        <w:footnoteRef/>
      </w:r>
      <w:r w:rsidRPr="00B70BC3">
        <w:rPr>
          <w:rFonts w:ascii="Arial" w:hAnsi="Arial" w:cs="Arial"/>
          <w:sz w:val="18"/>
          <w:szCs w:val="16"/>
        </w:rPr>
        <w:t xml:space="preserve"> </w:t>
      </w:r>
      <w:r w:rsidRPr="008071BA">
        <w:rPr>
          <w:rFonts w:ascii="Arial" w:hAnsi="Arial" w:cs="Arial"/>
          <w:sz w:val="18"/>
          <w:szCs w:val="16"/>
        </w:rPr>
        <w:t>This figure reflects the number of meetings betwee</w:t>
      </w:r>
      <w:r>
        <w:rPr>
          <w:rFonts w:ascii="Arial" w:hAnsi="Arial" w:cs="Arial"/>
          <w:sz w:val="18"/>
          <w:szCs w:val="16"/>
        </w:rPr>
        <w:t>n ORA representatives and CPUC commissioners or their a</w:t>
      </w:r>
      <w:r w:rsidRPr="008071BA">
        <w:rPr>
          <w:rFonts w:ascii="Arial" w:hAnsi="Arial" w:cs="Arial"/>
          <w:sz w:val="18"/>
          <w:szCs w:val="16"/>
        </w:rPr>
        <w:t>dvisors.</w:t>
      </w:r>
    </w:p>
    <w:p w:rsidR="00CE6E80" w:rsidRPr="008071BA" w:rsidRDefault="00CE6E80" w:rsidP="00315B52">
      <w:pPr>
        <w:pStyle w:val="FootnoteText"/>
        <w:rPr>
          <w:rFonts w:ascii="Arial" w:hAnsi="Arial" w:cs="Arial"/>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E80" w:rsidRDefault="00CE6E80">
    <w:pPr>
      <w:pStyle w:val="Header"/>
    </w:pPr>
    <w:r>
      <w:rPr>
        <w:rFonts w:ascii="Century Gothic" w:hAnsi="Century Gothic"/>
        <w:noProof/>
        <w:sz w:val="96"/>
        <w:szCs w:val="96"/>
      </w:rPr>
      <w:drawing>
        <wp:inline distT="0" distB="0" distL="0" distR="0" wp14:anchorId="264D675F" wp14:editId="0283809B">
          <wp:extent cx="6583680" cy="546100"/>
          <wp:effectExtent l="0" t="0" r="7620" b="6350"/>
          <wp:docPr id="5182" name="Picture 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bannerFINAL3_rgb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83680" cy="5461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E80" w:rsidRPr="006F74F7" w:rsidRDefault="00CE6E80" w:rsidP="00B654C6">
    <w:pPr>
      <w:pStyle w:val="Header"/>
      <w:tabs>
        <w:tab w:val="clear" w:pos="8640"/>
        <w:tab w:val="right" w:pos="10350"/>
      </w:tabs>
      <w:spacing w:after="60"/>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1312" behindDoc="0" locked="0" layoutInCell="1" allowOverlap="1" wp14:anchorId="09E96CAA" wp14:editId="5AFA6BA2">
              <wp:simplePos x="0" y="0"/>
              <wp:positionH relativeFrom="column">
                <wp:posOffset>13970</wp:posOffset>
              </wp:positionH>
              <wp:positionV relativeFrom="paragraph">
                <wp:posOffset>142571</wp:posOffset>
              </wp:positionV>
              <wp:extent cx="6607175" cy="0"/>
              <wp:effectExtent l="0" t="0" r="22225" b="19050"/>
              <wp:wrapNone/>
              <wp:docPr id="5164" name="Straight Connector 5164"/>
              <wp:cNvGraphicFramePr/>
              <a:graphic xmlns:a="http://schemas.openxmlformats.org/drawingml/2006/main">
                <a:graphicData uri="http://schemas.microsoft.com/office/word/2010/wordprocessingShape">
                  <wps:wsp>
                    <wps:cNvCnPr/>
                    <wps:spPr>
                      <a:xfrm>
                        <a:off x="0" y="0"/>
                        <a:ext cx="660717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16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1.25pt" to="521.3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" strokecolor="#d8d8d8 [2732]"/>
          </w:pict>
        </mc:Fallback>
      </mc:AlternateContent>
    </w:r>
    <w:r>
      <w:rPr>
        <w:rFonts w:ascii="Arial" w:hAnsi="Arial" w:cs="Arial"/>
        <w:sz w:val="18"/>
        <w:szCs w:val="18"/>
      </w:rPr>
      <w:tab/>
    </w:r>
    <w:r>
      <w:rPr>
        <w:rFonts w:ascii="Arial" w:hAnsi="Arial" w:cs="Arial"/>
        <w:sz w:val="18"/>
        <w:szCs w:val="18"/>
      </w:rPr>
      <w:tab/>
    </w:r>
    <w:r w:rsidRPr="002365F9">
      <w:rPr>
        <w:rFonts w:ascii="Arial" w:hAnsi="Arial" w:cs="Arial"/>
        <w:sz w:val="18"/>
        <w:szCs w:val="18"/>
      </w:rPr>
      <w:t>2015 ORA Annual Report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E80" w:rsidRPr="002365F9" w:rsidRDefault="00CE6E80" w:rsidP="00030CD6">
    <w:pPr>
      <w:pStyle w:val="Header"/>
    </w:pPr>
    <w:r>
      <w:rPr>
        <w:rFonts w:ascii="Arial" w:hAnsi="Arial" w:cs="Arial"/>
        <w:noProof/>
        <w:sz w:val="18"/>
        <w:szCs w:val="18"/>
      </w:rPr>
      <mc:AlternateContent>
        <mc:Choice Requires="wps">
          <w:drawing>
            <wp:anchor distT="0" distB="0" distL="114300" distR="114300" simplePos="0" relativeHeight="251675648" behindDoc="0" locked="0" layoutInCell="1" allowOverlap="1" wp14:anchorId="54000753" wp14:editId="2025D1C6">
              <wp:simplePos x="0" y="0"/>
              <wp:positionH relativeFrom="column">
                <wp:posOffset>-16510</wp:posOffset>
              </wp:positionH>
              <wp:positionV relativeFrom="paragraph">
                <wp:posOffset>150826</wp:posOffset>
              </wp:positionV>
              <wp:extent cx="6607175" cy="0"/>
              <wp:effectExtent l="0" t="0" r="22225" b="19050"/>
              <wp:wrapNone/>
              <wp:docPr id="5325" name="Straight Connector 5325"/>
              <wp:cNvGraphicFramePr/>
              <a:graphic xmlns:a="http://schemas.openxmlformats.org/drawingml/2006/main">
                <a:graphicData uri="http://schemas.microsoft.com/office/word/2010/wordprocessingShape">
                  <wps:wsp>
                    <wps:cNvCnPr/>
                    <wps:spPr>
                      <a:xfrm>
                        <a:off x="0" y="0"/>
                        <a:ext cx="660717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325"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pt,11.9pt" to="518.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" strokecolor="#d8d8d8 [2732]"/>
          </w:pict>
        </mc:Fallback>
      </mc:AlternateContent>
    </w:r>
    <w:r w:rsidRPr="002365F9">
      <w:rPr>
        <w:rFonts w:ascii="Arial" w:hAnsi="Arial" w:cs="Arial"/>
        <w:sz w:val="18"/>
        <w:szCs w:val="18"/>
      </w:rPr>
      <w:t>2015 ORA Annual Report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E80" w:rsidRPr="00067198" w:rsidRDefault="00CE6E80" w:rsidP="00DE10F5">
    <w:pPr>
      <w:pStyle w:val="Header"/>
      <w:spacing w:after="60"/>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59264" behindDoc="0" locked="0" layoutInCell="1" allowOverlap="1" wp14:anchorId="20F68778" wp14:editId="2CB7C875">
              <wp:simplePos x="0" y="0"/>
              <wp:positionH relativeFrom="column">
                <wp:posOffset>1988</wp:posOffset>
              </wp:positionH>
              <wp:positionV relativeFrom="paragraph">
                <wp:posOffset>139148</wp:posOffset>
              </wp:positionV>
              <wp:extent cx="6607534" cy="0"/>
              <wp:effectExtent l="0" t="0" r="22225" b="19050"/>
              <wp:wrapNone/>
              <wp:docPr id="5163" name="Straight Connector 5163"/>
              <wp:cNvGraphicFramePr/>
              <a:graphic xmlns:a="http://schemas.openxmlformats.org/drawingml/2006/main">
                <a:graphicData uri="http://schemas.microsoft.com/office/word/2010/wordprocessingShape">
                  <wps:wsp>
                    <wps:cNvCnPr/>
                    <wps:spPr>
                      <a:xfrm>
                        <a:off x="0" y="0"/>
                        <a:ext cx="660753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16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0.95pt" to="520.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" strokecolor="#d8d8d8 [2732]"/>
          </w:pict>
        </mc:Fallback>
      </mc:AlternateContent>
    </w:r>
    <w:r w:rsidRPr="00067198">
      <w:rPr>
        <w:rFonts w:ascii="Arial" w:hAnsi="Arial" w:cs="Arial"/>
        <w:sz w:val="18"/>
        <w:szCs w:val="18"/>
      </w:rPr>
      <w:t>2015 ORA Annual Report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E80" w:rsidRPr="002365F9" w:rsidRDefault="00CE6E80" w:rsidP="00030CD6">
    <w:pPr>
      <w:pStyle w:val="Header"/>
      <w:jc w:val="right"/>
    </w:pPr>
    <w:r>
      <w:rPr>
        <w:rFonts w:ascii="Arial" w:hAnsi="Arial" w:cs="Arial"/>
        <w:noProof/>
        <w:sz w:val="18"/>
        <w:szCs w:val="18"/>
      </w:rPr>
      <mc:AlternateContent>
        <mc:Choice Requires="wps">
          <w:drawing>
            <wp:anchor distT="0" distB="0" distL="114300" distR="114300" simplePos="0" relativeHeight="251677696" behindDoc="0" locked="0" layoutInCell="1" allowOverlap="1" wp14:anchorId="702EB255" wp14:editId="4A7C492F">
              <wp:simplePos x="0" y="0"/>
              <wp:positionH relativeFrom="column">
                <wp:posOffset>-16510</wp:posOffset>
              </wp:positionH>
              <wp:positionV relativeFrom="paragraph">
                <wp:posOffset>150826</wp:posOffset>
              </wp:positionV>
              <wp:extent cx="6607175" cy="0"/>
              <wp:effectExtent l="0" t="0" r="22225" b="19050"/>
              <wp:wrapNone/>
              <wp:docPr id="27" name="Straight Connector 27"/>
              <wp:cNvGraphicFramePr/>
              <a:graphic xmlns:a="http://schemas.openxmlformats.org/drawingml/2006/main">
                <a:graphicData uri="http://schemas.microsoft.com/office/word/2010/wordprocessingShape">
                  <wps:wsp>
                    <wps:cNvCnPr/>
                    <wps:spPr>
                      <a:xfrm>
                        <a:off x="0" y="0"/>
                        <a:ext cx="660717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7"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pt,11.9pt" to="518.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" strokecolor="#d8d8d8 [2732]"/>
          </w:pict>
        </mc:Fallback>
      </mc:AlternateContent>
    </w:r>
    <w:r w:rsidRPr="002365F9">
      <w:rPr>
        <w:rFonts w:ascii="Arial" w:hAnsi="Arial" w:cs="Arial"/>
        <w:sz w:val="18"/>
        <w:szCs w:val="18"/>
      </w:rPr>
      <w:t>2015 ORA Annual Report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E80" w:rsidRPr="00067198" w:rsidRDefault="00CE6E80" w:rsidP="00BB2729">
    <w:pPr>
      <w:pStyle w:val="Header"/>
      <w:spacing w:after="60"/>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9504" behindDoc="0" locked="0" layoutInCell="1" allowOverlap="1" wp14:anchorId="07069DC9" wp14:editId="23DFD189">
              <wp:simplePos x="0" y="0"/>
              <wp:positionH relativeFrom="column">
                <wp:posOffset>-32385</wp:posOffset>
              </wp:positionH>
              <wp:positionV relativeFrom="paragraph">
                <wp:posOffset>143179</wp:posOffset>
              </wp:positionV>
              <wp:extent cx="6607175" cy="0"/>
              <wp:effectExtent l="0" t="0" r="22225" b="19050"/>
              <wp:wrapNone/>
              <wp:docPr id="53" name="Straight Connector 53"/>
              <wp:cNvGraphicFramePr/>
              <a:graphic xmlns:a="http://schemas.openxmlformats.org/drawingml/2006/main">
                <a:graphicData uri="http://schemas.microsoft.com/office/word/2010/wordprocessingShape">
                  <wps:wsp>
                    <wps:cNvCnPr/>
                    <wps:spPr>
                      <a:xfrm>
                        <a:off x="0" y="0"/>
                        <a:ext cx="660717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3"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11.25pt" to="517.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" strokecolor="#d8d8d8 [2732]"/>
          </w:pict>
        </mc:Fallback>
      </mc:AlternateContent>
    </w:r>
    <w:r w:rsidRPr="00067198">
      <w:rPr>
        <w:rFonts w:ascii="Arial" w:hAnsi="Arial" w:cs="Arial"/>
        <w:sz w:val="18"/>
        <w:szCs w:val="18"/>
      </w:rPr>
      <w:t>2015 ORA Annual Report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E80" w:rsidRPr="006F74F7" w:rsidRDefault="00CE6E80" w:rsidP="00BB2729">
    <w:pPr>
      <w:pStyle w:val="Header"/>
      <w:tabs>
        <w:tab w:val="clear" w:pos="8640"/>
        <w:tab w:val="right" w:pos="10350"/>
      </w:tabs>
      <w:spacing w:after="60"/>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71552" behindDoc="0" locked="0" layoutInCell="1" allowOverlap="1" wp14:anchorId="5C763100" wp14:editId="3D42BF74">
              <wp:simplePos x="0" y="0"/>
              <wp:positionH relativeFrom="column">
                <wp:posOffset>72059</wp:posOffset>
              </wp:positionH>
              <wp:positionV relativeFrom="paragraph">
                <wp:posOffset>142240</wp:posOffset>
              </wp:positionV>
              <wp:extent cx="6607175" cy="0"/>
              <wp:effectExtent l="0" t="0" r="22225" b="19050"/>
              <wp:wrapNone/>
              <wp:docPr id="54" name="Straight Connector 54"/>
              <wp:cNvGraphicFramePr/>
              <a:graphic xmlns:a="http://schemas.openxmlformats.org/drawingml/2006/main">
                <a:graphicData uri="http://schemas.microsoft.com/office/word/2010/wordprocessingShape">
                  <wps:wsp>
                    <wps:cNvCnPr/>
                    <wps:spPr>
                      <a:xfrm>
                        <a:off x="0" y="0"/>
                        <a:ext cx="660717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4"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5pt,11.2pt" to="525.9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" strokecolor="#d8d8d8 [2732]"/>
          </w:pict>
        </mc:Fallback>
      </mc:AlternateContent>
    </w:r>
    <w:r>
      <w:rPr>
        <w:rFonts w:ascii="Arial" w:hAnsi="Arial" w:cs="Arial"/>
        <w:sz w:val="18"/>
        <w:szCs w:val="18"/>
      </w:rPr>
      <w:tab/>
    </w:r>
    <w:r>
      <w:rPr>
        <w:rFonts w:ascii="Arial" w:hAnsi="Arial" w:cs="Arial"/>
        <w:sz w:val="18"/>
        <w:szCs w:val="18"/>
      </w:rPr>
      <w:tab/>
      <w:t xml:space="preserve">      </w:t>
    </w:r>
    <w:r w:rsidRPr="002365F9">
      <w:rPr>
        <w:rFonts w:ascii="Arial" w:hAnsi="Arial" w:cs="Arial"/>
        <w:sz w:val="18"/>
        <w:szCs w:val="18"/>
      </w:rPr>
      <w:t>2015 ORA Annual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in;height:3in" o:bullet="t"/>
    </w:pict>
  </w:numPicBullet>
  <w:numPicBullet w:numPicBulletId="1">
    <w:pict>
      <v:shape id="_x0000_i1035" type="#_x0000_t75" style="width:3in;height:3in" o:bullet="t"/>
    </w:pict>
  </w:numPicBullet>
  <w:numPicBullet w:numPicBulletId="2">
    <w:pict>
      <v:shape id="_x0000_i1036" type="#_x0000_t75" style="width:3in;height:3in" o:bullet="t"/>
    </w:pict>
  </w:numPicBullet>
  <w:numPicBullet w:numPicBulletId="3">
    <w:pict>
      <v:shape id="_x0000_i1037" type="#_x0000_t75" style="width:3in;height:3in" o:bullet="t"/>
    </w:pict>
  </w:numPicBullet>
  <w:numPicBullet w:numPicBulletId="4">
    <w:pict>
      <v:shape id="_x0000_i1038" type="#_x0000_t75" style="width:3in;height:3in" o:bullet="t"/>
    </w:pict>
  </w:numPicBullet>
  <w:numPicBullet w:numPicBulletId="5">
    <w:pict>
      <v:shape id="_x0000_i1039" type="#_x0000_t75" style="width:3in;height:3in" o:bullet="t"/>
    </w:pict>
  </w:numPicBullet>
  <w:numPicBullet w:numPicBulletId="6">
    <w:pict>
      <v:shape id="_x0000_i1040" type="#_x0000_t75" style="width:3in;height:3in" o:bullet="t"/>
    </w:pict>
  </w:numPicBullet>
  <w:numPicBullet w:numPicBulletId="7">
    <w:pict>
      <v:shape id="_x0000_i1041" type="#_x0000_t75" style="width:3in;height:3in" o:bullet="t"/>
    </w:pict>
  </w:numPicBullet>
  <w:abstractNum w:abstractNumId="0">
    <w:nsid w:val="FFFFFF7C"/>
    <w:multiLevelType w:val="singleLevel"/>
    <w:tmpl w:val="F208B818"/>
    <w:lvl w:ilvl="0">
      <w:start w:val="1"/>
      <w:numFmt w:val="decimal"/>
      <w:lvlText w:val="%1."/>
      <w:lvlJc w:val="left"/>
      <w:pPr>
        <w:tabs>
          <w:tab w:val="num" w:pos="1800"/>
        </w:tabs>
        <w:ind w:left="1800" w:hanging="360"/>
      </w:pPr>
    </w:lvl>
  </w:abstractNum>
  <w:abstractNum w:abstractNumId="1">
    <w:nsid w:val="FFFFFF7D"/>
    <w:multiLevelType w:val="singleLevel"/>
    <w:tmpl w:val="EC426714"/>
    <w:lvl w:ilvl="0">
      <w:start w:val="1"/>
      <w:numFmt w:val="decimal"/>
      <w:lvlText w:val="%1."/>
      <w:lvlJc w:val="left"/>
      <w:pPr>
        <w:tabs>
          <w:tab w:val="num" w:pos="1440"/>
        </w:tabs>
        <w:ind w:left="1440" w:hanging="360"/>
      </w:pPr>
    </w:lvl>
  </w:abstractNum>
  <w:abstractNum w:abstractNumId="2">
    <w:nsid w:val="FFFFFF7E"/>
    <w:multiLevelType w:val="singleLevel"/>
    <w:tmpl w:val="82D80DC6"/>
    <w:lvl w:ilvl="0">
      <w:start w:val="1"/>
      <w:numFmt w:val="decimal"/>
      <w:lvlText w:val="%1."/>
      <w:lvlJc w:val="left"/>
      <w:pPr>
        <w:tabs>
          <w:tab w:val="num" w:pos="1080"/>
        </w:tabs>
        <w:ind w:left="1080" w:hanging="360"/>
      </w:pPr>
    </w:lvl>
  </w:abstractNum>
  <w:abstractNum w:abstractNumId="3">
    <w:nsid w:val="FFFFFF7F"/>
    <w:multiLevelType w:val="singleLevel"/>
    <w:tmpl w:val="29DAF8E4"/>
    <w:lvl w:ilvl="0">
      <w:start w:val="1"/>
      <w:numFmt w:val="decimal"/>
      <w:lvlText w:val="%1."/>
      <w:lvlJc w:val="left"/>
      <w:pPr>
        <w:tabs>
          <w:tab w:val="num" w:pos="720"/>
        </w:tabs>
        <w:ind w:left="720" w:hanging="360"/>
      </w:pPr>
    </w:lvl>
  </w:abstractNum>
  <w:abstractNum w:abstractNumId="4">
    <w:nsid w:val="FFFFFF80"/>
    <w:multiLevelType w:val="singleLevel"/>
    <w:tmpl w:val="8686391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CD07C6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68E829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2DC4F5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3006030"/>
    <w:lvl w:ilvl="0">
      <w:start w:val="1"/>
      <w:numFmt w:val="decimal"/>
      <w:lvlText w:val="%1."/>
      <w:lvlJc w:val="left"/>
      <w:pPr>
        <w:tabs>
          <w:tab w:val="num" w:pos="360"/>
        </w:tabs>
        <w:ind w:left="360" w:hanging="360"/>
      </w:pPr>
    </w:lvl>
  </w:abstractNum>
  <w:abstractNum w:abstractNumId="9">
    <w:nsid w:val="FFFFFF89"/>
    <w:multiLevelType w:val="singleLevel"/>
    <w:tmpl w:val="3B6283B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singleLevel"/>
    <w:tmpl w:val="00000001"/>
    <w:name w:val="WW8Num1"/>
    <w:lvl w:ilvl="0">
      <w:start w:val="1"/>
      <w:numFmt w:val="bullet"/>
      <w:lvlText w:val=""/>
      <w:lvlJc w:val="left"/>
      <w:pPr>
        <w:tabs>
          <w:tab w:val="num" w:pos="720"/>
        </w:tabs>
        <w:ind w:left="720" w:hanging="360"/>
      </w:pPr>
      <w:rPr>
        <w:rFonts w:ascii="Wingdings" w:hAnsi="Wingdings"/>
        <w:color w:val="000080"/>
      </w:rPr>
    </w:lvl>
  </w:abstractNum>
  <w:abstractNum w:abstractNumId="11">
    <w:nsid w:val="02911A1D"/>
    <w:multiLevelType w:val="multilevel"/>
    <w:tmpl w:val="0CD21142"/>
    <w:lvl w:ilvl="0">
      <w:start w:val="1"/>
      <w:numFmt w:val="bullet"/>
      <w:lvlText w:val=""/>
      <w:lvlJc w:val="left"/>
      <w:pPr>
        <w:tabs>
          <w:tab w:val="num" w:pos="720"/>
        </w:tabs>
        <w:ind w:left="720" w:hanging="360"/>
      </w:pPr>
      <w:rPr>
        <w:rFonts w:ascii="Wingdings" w:hAnsi="Wingdings" w:hint="default"/>
        <w:color w:val="000080"/>
        <w:sz w:val="20"/>
      </w:rPr>
    </w:lvl>
    <w:lvl w:ilvl="1" w:tentative="1">
      <w:start w:val="1"/>
      <w:numFmt w:val="bullet"/>
      <w:lvlText w:val="o"/>
      <w:lvlPicBulletId w:val="6"/>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4961060"/>
    <w:multiLevelType w:val="multilevel"/>
    <w:tmpl w:val="B36A7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ACB46B5"/>
    <w:multiLevelType w:val="hybridMultilevel"/>
    <w:tmpl w:val="BE7881F0"/>
    <w:lvl w:ilvl="0" w:tplc="D5547698">
      <w:start w:val="1"/>
      <w:numFmt w:val="bullet"/>
      <w:lvlText w:val=""/>
      <w:lvlJc w:val="left"/>
      <w:pPr>
        <w:tabs>
          <w:tab w:val="num" w:pos="1080"/>
        </w:tabs>
        <w:ind w:left="1080" w:hanging="360"/>
      </w:pPr>
      <w:rPr>
        <w:rFonts w:ascii="Wingdings" w:hAnsi="Wingdings"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B9050B2"/>
    <w:multiLevelType w:val="hybridMultilevel"/>
    <w:tmpl w:val="5FA22756"/>
    <w:lvl w:ilvl="0" w:tplc="0AC0DF52">
      <w:start w:val="1"/>
      <w:numFmt w:val="bullet"/>
      <w:lvlText w:val=""/>
      <w:lvlJc w:val="left"/>
      <w:pPr>
        <w:tabs>
          <w:tab w:val="num" w:pos="1080"/>
        </w:tabs>
        <w:ind w:left="1080" w:hanging="360"/>
      </w:pPr>
      <w:rPr>
        <w:rFonts w:ascii="Wingdings" w:hAnsi="Wingdings" w:hint="default"/>
        <w:color w:val="000080"/>
      </w:rPr>
    </w:lvl>
    <w:lvl w:ilvl="1" w:tplc="A5623AD6">
      <w:start w:val="1"/>
      <w:numFmt w:val="bullet"/>
      <w:lvlText w:val=""/>
      <w:lvlJc w:val="left"/>
      <w:pPr>
        <w:tabs>
          <w:tab w:val="num" w:pos="1440"/>
        </w:tabs>
        <w:ind w:left="1440" w:hanging="360"/>
      </w:pPr>
      <w:rPr>
        <w:rFonts w:ascii="Symbol" w:hAnsi="Symbol" w:hint="default"/>
        <w:color w:val="00008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CA71311"/>
    <w:multiLevelType w:val="hybridMultilevel"/>
    <w:tmpl w:val="3D62696E"/>
    <w:lvl w:ilvl="0" w:tplc="537E7984">
      <w:start w:val="1"/>
      <w:numFmt w:val="bullet"/>
      <w:lvlText w:val=""/>
      <w:lvlJc w:val="left"/>
      <w:pPr>
        <w:ind w:left="720" w:hanging="360"/>
      </w:pPr>
      <w:rPr>
        <w:rFonts w:ascii="Wingdings" w:hAnsi="Wingdings" w:hint="default"/>
        <w:color w:val="FFFFF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311387"/>
    <w:multiLevelType w:val="multilevel"/>
    <w:tmpl w:val="B8CE6E20"/>
    <w:lvl w:ilvl="0">
      <w:start w:val="1"/>
      <w:numFmt w:val="bullet"/>
      <w:lvlText w:val=""/>
      <w:lvlJc w:val="left"/>
      <w:pPr>
        <w:tabs>
          <w:tab w:val="num" w:pos="720"/>
        </w:tabs>
        <w:ind w:left="720" w:hanging="360"/>
      </w:pPr>
      <w:rPr>
        <w:rFonts w:ascii="Wingdings" w:hAnsi="Wingdings" w:hint="default"/>
        <w:color w:val="000080"/>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27C4316"/>
    <w:multiLevelType w:val="hybridMultilevel"/>
    <w:tmpl w:val="B1B03AA2"/>
    <w:lvl w:ilvl="0" w:tplc="83C6CB76">
      <w:start w:val="1"/>
      <w:numFmt w:val="bullet"/>
      <w:lvlText w:val=""/>
      <w:lvlJc w:val="left"/>
      <w:pPr>
        <w:ind w:left="1080" w:hanging="360"/>
      </w:pPr>
      <w:rPr>
        <w:rFonts w:ascii="Wingdings" w:hAnsi="Wingdings" w:hint="default"/>
        <w:color w:val="C6D9F1" w:themeColor="text2" w:themeTint="33"/>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B1E77A4"/>
    <w:multiLevelType w:val="multilevel"/>
    <w:tmpl w:val="34BC69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5"/>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1C6627C3"/>
    <w:multiLevelType w:val="multilevel"/>
    <w:tmpl w:val="3F4EF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6"/>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C8F4BFB"/>
    <w:multiLevelType w:val="hybridMultilevel"/>
    <w:tmpl w:val="10A03ECE"/>
    <w:lvl w:ilvl="0" w:tplc="0409000F">
      <w:start w:val="1"/>
      <w:numFmt w:val="decimal"/>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1">
    <w:nsid w:val="1D0E4D1A"/>
    <w:multiLevelType w:val="multilevel"/>
    <w:tmpl w:val="239C6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6A36397"/>
    <w:multiLevelType w:val="hybridMultilevel"/>
    <w:tmpl w:val="A3F0CB7C"/>
    <w:lvl w:ilvl="0" w:tplc="59E6444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F214393"/>
    <w:multiLevelType w:val="hybridMultilevel"/>
    <w:tmpl w:val="45F41088"/>
    <w:lvl w:ilvl="0" w:tplc="0AC0DF52">
      <w:start w:val="1"/>
      <w:numFmt w:val="bullet"/>
      <w:lvlText w:val=""/>
      <w:lvlJc w:val="left"/>
      <w:pPr>
        <w:ind w:left="1080" w:hanging="360"/>
      </w:pPr>
      <w:rPr>
        <w:rFonts w:ascii="Wingdings" w:hAnsi="Wingdings" w:hint="default"/>
        <w:color w:val="0000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12F08DE"/>
    <w:multiLevelType w:val="hybridMultilevel"/>
    <w:tmpl w:val="9F7A8B42"/>
    <w:lvl w:ilvl="0" w:tplc="0AC0DF52">
      <w:start w:val="1"/>
      <w:numFmt w:val="bullet"/>
      <w:lvlText w:val=""/>
      <w:lvlJc w:val="left"/>
      <w:pPr>
        <w:ind w:left="720" w:hanging="360"/>
      </w:pPr>
      <w:rPr>
        <w:rFonts w:ascii="Wingdings" w:hAnsi="Wingdings" w:hint="default"/>
        <w:color w:val="0000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297791D"/>
    <w:multiLevelType w:val="hybridMultilevel"/>
    <w:tmpl w:val="37F2B4D4"/>
    <w:lvl w:ilvl="0" w:tplc="59E6444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41C5A2F"/>
    <w:multiLevelType w:val="hybridMultilevel"/>
    <w:tmpl w:val="EDDA426C"/>
    <w:lvl w:ilvl="0" w:tplc="59E6444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4A2608E"/>
    <w:multiLevelType w:val="multilevel"/>
    <w:tmpl w:val="E5E89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A9C3096"/>
    <w:multiLevelType w:val="multilevel"/>
    <w:tmpl w:val="28E43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F392F69"/>
    <w:multiLevelType w:val="hybridMultilevel"/>
    <w:tmpl w:val="482666E8"/>
    <w:lvl w:ilvl="0" w:tplc="707E0FF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F79464B"/>
    <w:multiLevelType w:val="multilevel"/>
    <w:tmpl w:val="DA30F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51C011B"/>
    <w:multiLevelType w:val="hybridMultilevel"/>
    <w:tmpl w:val="2496DD8A"/>
    <w:lvl w:ilvl="0" w:tplc="0D6671C0">
      <w:start w:val="1"/>
      <w:numFmt w:val="bullet"/>
      <w:lvlText w:val=""/>
      <w:lvlJc w:val="left"/>
      <w:pPr>
        <w:ind w:left="720" w:hanging="360"/>
      </w:pPr>
      <w:rPr>
        <w:rFonts w:ascii="Wingdings" w:hAnsi="Wingdings" w:hint="default"/>
        <w:color w:val="1F497D"/>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081283"/>
    <w:multiLevelType w:val="hybridMultilevel"/>
    <w:tmpl w:val="CB90F6FC"/>
    <w:lvl w:ilvl="0" w:tplc="04090005">
      <w:start w:val="1"/>
      <w:numFmt w:val="bullet"/>
      <w:lvlText w:val=""/>
      <w:lvlJc w:val="left"/>
      <w:pPr>
        <w:tabs>
          <w:tab w:val="num" w:pos="720"/>
        </w:tabs>
        <w:ind w:left="720" w:hanging="360"/>
      </w:pPr>
      <w:rPr>
        <w:rFonts w:ascii="Wingdings" w:hAnsi="Wingdings" w:hint="default"/>
        <w:color w:val="00008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519A55A2"/>
    <w:multiLevelType w:val="hybridMultilevel"/>
    <w:tmpl w:val="CD56D114"/>
    <w:lvl w:ilvl="0" w:tplc="B326556C">
      <w:start w:val="1"/>
      <w:numFmt w:val="bullet"/>
      <w:lvlText w:val=""/>
      <w:lvlJc w:val="left"/>
      <w:pPr>
        <w:ind w:left="720" w:hanging="360"/>
      </w:pPr>
      <w:rPr>
        <w:rFonts w:ascii="Wingdings" w:hAnsi="Wingdings" w:hint="default"/>
        <w:color w:val="0F243E"/>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F25F17"/>
    <w:multiLevelType w:val="hybridMultilevel"/>
    <w:tmpl w:val="68D42138"/>
    <w:lvl w:ilvl="0" w:tplc="2F8ECEC2">
      <w:start w:val="1"/>
      <w:numFmt w:val="bullet"/>
      <w:lvlText w:val=""/>
      <w:lvlJc w:val="left"/>
      <w:pPr>
        <w:ind w:left="1080" w:hanging="360"/>
      </w:pPr>
      <w:rPr>
        <w:rFonts w:ascii="Wingdings" w:hAnsi="Wingdings"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3BA5228"/>
    <w:multiLevelType w:val="multilevel"/>
    <w:tmpl w:val="10223010"/>
    <w:lvl w:ilvl="0">
      <w:start w:val="1"/>
      <w:numFmt w:val="bullet"/>
      <w:lvlText w:val=""/>
      <w:lvlJc w:val="left"/>
      <w:pPr>
        <w:tabs>
          <w:tab w:val="num" w:pos="720"/>
        </w:tabs>
        <w:ind w:left="720" w:hanging="360"/>
      </w:pPr>
      <w:rPr>
        <w:rFonts w:ascii="Wingdings" w:hAnsi="Wingdings" w:hint="default"/>
        <w:color w:val="000000" w:themeColor="text1"/>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9B2429D"/>
    <w:multiLevelType w:val="hybridMultilevel"/>
    <w:tmpl w:val="687E3992"/>
    <w:lvl w:ilvl="0" w:tplc="0AC0DF52">
      <w:start w:val="1"/>
      <w:numFmt w:val="bullet"/>
      <w:lvlText w:val=""/>
      <w:lvlJc w:val="left"/>
      <w:pPr>
        <w:ind w:left="360" w:hanging="360"/>
      </w:pPr>
      <w:rPr>
        <w:rFonts w:ascii="Wingdings" w:hAnsi="Wingdings" w:hint="default"/>
        <w:color w:val="0000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ADB5022"/>
    <w:multiLevelType w:val="hybridMultilevel"/>
    <w:tmpl w:val="E474B614"/>
    <w:lvl w:ilvl="0" w:tplc="6208566A">
      <w:start w:val="1"/>
      <w:numFmt w:val="bullet"/>
      <w:lvlText w:val=""/>
      <w:lvlJc w:val="left"/>
      <w:pPr>
        <w:ind w:left="1008" w:hanging="360"/>
      </w:pPr>
      <w:rPr>
        <w:rFonts w:ascii="Wingdings" w:hAnsi="Wingdings" w:hint="default"/>
        <w:color w:val="000080"/>
        <w:sz w:val="20"/>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8">
    <w:nsid w:val="627456A9"/>
    <w:multiLevelType w:val="hybridMultilevel"/>
    <w:tmpl w:val="AB8215F0"/>
    <w:lvl w:ilvl="0" w:tplc="FFFFFFFF">
      <w:start w:val="1"/>
      <w:numFmt w:val="decimal"/>
      <w:pStyle w:val="ListNumbers"/>
      <w:lvlText w:val="%1."/>
      <w:lvlJc w:val="left"/>
      <w:pPr>
        <w:tabs>
          <w:tab w:val="num" w:pos="994"/>
        </w:tabs>
        <w:ind w:left="994" w:hanging="720"/>
      </w:pPr>
      <w:rPr>
        <w:rFonts w:hint="eastAsia"/>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39">
    <w:nsid w:val="641676FE"/>
    <w:multiLevelType w:val="hybridMultilevel"/>
    <w:tmpl w:val="7D84BC1A"/>
    <w:lvl w:ilvl="0" w:tplc="59E64440">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64276C60"/>
    <w:multiLevelType w:val="hybridMultilevel"/>
    <w:tmpl w:val="A86259DC"/>
    <w:lvl w:ilvl="0" w:tplc="C5B2D3B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82638E9"/>
    <w:multiLevelType w:val="hybridMultilevel"/>
    <w:tmpl w:val="145A0436"/>
    <w:lvl w:ilvl="0" w:tplc="0AC0DF52">
      <w:start w:val="1"/>
      <w:numFmt w:val="bullet"/>
      <w:lvlText w:val=""/>
      <w:lvlJc w:val="left"/>
      <w:pPr>
        <w:tabs>
          <w:tab w:val="num" w:pos="720"/>
        </w:tabs>
        <w:ind w:left="720" w:hanging="360"/>
      </w:pPr>
      <w:rPr>
        <w:rFonts w:ascii="Wingdings" w:hAnsi="Wingdings" w:hint="default"/>
        <w:color w:val="00008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7A3A4588"/>
    <w:multiLevelType w:val="hybridMultilevel"/>
    <w:tmpl w:val="65DAEE2A"/>
    <w:lvl w:ilvl="0" w:tplc="2ACE6CD4">
      <w:start w:val="1"/>
      <w:numFmt w:val="decimal"/>
      <w:lvlText w:val="%1"/>
      <w:lvlJc w:val="left"/>
      <w:pPr>
        <w:ind w:left="1620" w:hanging="1620"/>
      </w:pPr>
      <w:rPr>
        <w:rFonts w:hint="default"/>
        <w:sz w:val="4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BBA5E51"/>
    <w:multiLevelType w:val="hybridMultilevel"/>
    <w:tmpl w:val="20B63FAC"/>
    <w:lvl w:ilvl="0" w:tplc="BB369724">
      <w:start w:val="1"/>
      <w:numFmt w:val="bullet"/>
      <w:lvlText w:val=""/>
      <w:lvlJc w:val="left"/>
      <w:pPr>
        <w:tabs>
          <w:tab w:val="num" w:pos="720"/>
        </w:tabs>
        <w:ind w:left="720" w:hanging="360"/>
      </w:pPr>
      <w:rPr>
        <w:rFonts w:ascii="Wingdings" w:hAnsi="Wingdings" w:hint="default"/>
        <w:color w:val="00008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7C547313"/>
    <w:multiLevelType w:val="hybridMultilevel"/>
    <w:tmpl w:val="1B2E2708"/>
    <w:lvl w:ilvl="0" w:tplc="0D6671C0">
      <w:start w:val="1"/>
      <w:numFmt w:val="bullet"/>
      <w:lvlText w:val=""/>
      <w:lvlJc w:val="left"/>
      <w:pPr>
        <w:ind w:left="360" w:hanging="360"/>
      </w:pPr>
      <w:rPr>
        <w:rFonts w:ascii="Wingdings" w:hAnsi="Wingdings" w:hint="default"/>
        <w:color w:val="1F497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DAD23D5"/>
    <w:multiLevelType w:val="hybridMultilevel"/>
    <w:tmpl w:val="B3F674FE"/>
    <w:lvl w:ilvl="0" w:tplc="0D6671C0">
      <w:start w:val="1"/>
      <w:numFmt w:val="bullet"/>
      <w:lvlText w:val=""/>
      <w:lvlJc w:val="left"/>
      <w:pPr>
        <w:ind w:left="360" w:hanging="360"/>
      </w:pPr>
      <w:rPr>
        <w:rFonts w:ascii="Wingdings" w:hAnsi="Wingdings" w:hint="default"/>
        <w:color w:val="1F497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DB739C0"/>
    <w:multiLevelType w:val="hybridMultilevel"/>
    <w:tmpl w:val="58647150"/>
    <w:lvl w:ilvl="0" w:tplc="0AC0DF52">
      <w:start w:val="1"/>
      <w:numFmt w:val="bullet"/>
      <w:lvlText w:val=""/>
      <w:lvlJc w:val="left"/>
      <w:pPr>
        <w:tabs>
          <w:tab w:val="num" w:pos="1080"/>
        </w:tabs>
        <w:ind w:left="1080" w:hanging="360"/>
      </w:pPr>
      <w:rPr>
        <w:rFonts w:ascii="Wingdings" w:hAnsi="Wingdings" w:hint="default"/>
        <w:color w:val="000080"/>
      </w:rPr>
    </w:lvl>
    <w:lvl w:ilvl="1" w:tplc="668215BA">
      <w:start w:val="1"/>
      <w:numFmt w:val="bullet"/>
      <w:lvlText w:val=""/>
      <w:lvlJc w:val="left"/>
      <w:pPr>
        <w:tabs>
          <w:tab w:val="num" w:pos="1440"/>
        </w:tabs>
        <w:ind w:left="1440" w:hanging="360"/>
      </w:pPr>
      <w:rPr>
        <w:rFonts w:ascii="Wingdings 3" w:hAnsi="Wingdings 3" w:hint="default"/>
        <w:color w:val="365F91"/>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FF2414F"/>
    <w:multiLevelType w:val="hybridMultilevel"/>
    <w:tmpl w:val="492EF74C"/>
    <w:lvl w:ilvl="0" w:tplc="B8D09BD0">
      <w:start w:val="1"/>
      <w:numFmt w:val="bullet"/>
      <w:lvlText w:val=""/>
      <w:lvlJc w:val="left"/>
      <w:pPr>
        <w:ind w:left="720" w:hanging="360"/>
      </w:pPr>
      <w:rPr>
        <w:rFonts w:ascii="Wingdings" w:hAnsi="Wingdings" w:hint="default"/>
        <w:color w:val="FFFFF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14"/>
  </w:num>
  <w:num w:numId="3">
    <w:abstractNumId w:val="41"/>
  </w:num>
  <w:num w:numId="4">
    <w:abstractNumId w:val="43"/>
  </w:num>
  <w:num w:numId="5">
    <w:abstractNumId w:val="45"/>
  </w:num>
  <w:num w:numId="6">
    <w:abstractNumId w:val="44"/>
  </w:num>
  <w:num w:numId="7">
    <w:abstractNumId w:val="20"/>
  </w:num>
  <w:num w:numId="8">
    <w:abstractNumId w:val="37"/>
  </w:num>
  <w:num w:numId="9">
    <w:abstractNumId w:val="15"/>
  </w:num>
  <w:num w:numId="10">
    <w:abstractNumId w:val="46"/>
  </w:num>
  <w:num w:numId="11">
    <w:abstractNumId w:val="31"/>
  </w:num>
  <w:num w:numId="12">
    <w:abstractNumId w:val="47"/>
  </w:num>
  <w:num w:numId="13">
    <w:abstractNumId w:val="39"/>
  </w:num>
  <w:num w:numId="14">
    <w:abstractNumId w:val="22"/>
  </w:num>
  <w:num w:numId="15">
    <w:abstractNumId w:val="26"/>
  </w:num>
  <w:num w:numId="16">
    <w:abstractNumId w:val="25"/>
  </w:num>
  <w:num w:numId="17">
    <w:abstractNumId w:val="32"/>
  </w:num>
  <w:num w:numId="18">
    <w:abstractNumId w:val="13"/>
  </w:num>
  <w:num w:numId="19">
    <w:abstractNumId w:val="33"/>
  </w:num>
  <w:num w:numId="20">
    <w:abstractNumId w:val="28"/>
  </w:num>
  <w:num w:numId="21">
    <w:abstractNumId w:val="21"/>
  </w:num>
  <w:num w:numId="22">
    <w:abstractNumId w:val="30"/>
  </w:num>
  <w:num w:numId="23">
    <w:abstractNumId w:val="12"/>
  </w:num>
  <w:num w:numId="24">
    <w:abstractNumId w:val="29"/>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23"/>
  </w:num>
  <w:num w:numId="36">
    <w:abstractNumId w:val="17"/>
  </w:num>
  <w:num w:numId="37">
    <w:abstractNumId w:val="34"/>
  </w:num>
  <w:num w:numId="38">
    <w:abstractNumId w:val="18"/>
  </w:num>
  <w:num w:numId="39">
    <w:abstractNumId w:val="19"/>
  </w:num>
  <w:num w:numId="40">
    <w:abstractNumId w:val="27"/>
  </w:num>
  <w:num w:numId="41">
    <w:abstractNumId w:val="35"/>
  </w:num>
  <w:num w:numId="42">
    <w:abstractNumId w:val="42"/>
  </w:num>
  <w:num w:numId="43">
    <w:abstractNumId w:val="40"/>
  </w:num>
  <w:num w:numId="44">
    <w:abstractNumId w:val="36"/>
  </w:num>
  <w:num w:numId="45">
    <w:abstractNumId w:val="24"/>
  </w:num>
  <w:num w:numId="46">
    <w:abstractNumId w:val="11"/>
  </w:num>
  <w:num w:numId="47">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characterSpacingControl w:val="doNotCompress"/>
  <w:hdrShapeDefaults>
    <o:shapedefaults v:ext="edit" spidmax="2049" fill="f" fillcolor="white" stroke="f">
      <v:fill color="white" on="f"/>
      <v:stroke on="f"/>
      <o:colormru v:ext="edit" colors="black,#002060,#009,#9cf,#abd5ff,#33c,#d3d3f1,#d5d5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701"/>
    <w:rsid w:val="000001C5"/>
    <w:rsid w:val="00001A48"/>
    <w:rsid w:val="00001E4A"/>
    <w:rsid w:val="00002464"/>
    <w:rsid w:val="000028DE"/>
    <w:rsid w:val="00003EFC"/>
    <w:rsid w:val="000061C3"/>
    <w:rsid w:val="00006413"/>
    <w:rsid w:val="00007002"/>
    <w:rsid w:val="000103A7"/>
    <w:rsid w:val="00010CA5"/>
    <w:rsid w:val="00011425"/>
    <w:rsid w:val="00011525"/>
    <w:rsid w:val="00011899"/>
    <w:rsid w:val="00013DE8"/>
    <w:rsid w:val="00015FBC"/>
    <w:rsid w:val="00015FC3"/>
    <w:rsid w:val="00016061"/>
    <w:rsid w:val="00016E6D"/>
    <w:rsid w:val="00016EE7"/>
    <w:rsid w:val="00017CB0"/>
    <w:rsid w:val="0002064C"/>
    <w:rsid w:val="000207F8"/>
    <w:rsid w:val="00021A6F"/>
    <w:rsid w:val="0002251B"/>
    <w:rsid w:val="000226D7"/>
    <w:rsid w:val="00024FA3"/>
    <w:rsid w:val="00025961"/>
    <w:rsid w:val="0002770C"/>
    <w:rsid w:val="00030CD6"/>
    <w:rsid w:val="0003106D"/>
    <w:rsid w:val="00031D9D"/>
    <w:rsid w:val="00033443"/>
    <w:rsid w:val="000335A8"/>
    <w:rsid w:val="0003510A"/>
    <w:rsid w:val="00035682"/>
    <w:rsid w:val="00035C72"/>
    <w:rsid w:val="00035CE3"/>
    <w:rsid w:val="00035DB1"/>
    <w:rsid w:val="00036DD3"/>
    <w:rsid w:val="00040270"/>
    <w:rsid w:val="00040DD5"/>
    <w:rsid w:val="00041B86"/>
    <w:rsid w:val="00041C75"/>
    <w:rsid w:val="00044438"/>
    <w:rsid w:val="00045A9F"/>
    <w:rsid w:val="00045F48"/>
    <w:rsid w:val="0004615E"/>
    <w:rsid w:val="000466B8"/>
    <w:rsid w:val="00046833"/>
    <w:rsid w:val="0004752F"/>
    <w:rsid w:val="00047762"/>
    <w:rsid w:val="00050DB1"/>
    <w:rsid w:val="000511EC"/>
    <w:rsid w:val="00051282"/>
    <w:rsid w:val="00051BF4"/>
    <w:rsid w:val="00054353"/>
    <w:rsid w:val="0005541E"/>
    <w:rsid w:val="0005568D"/>
    <w:rsid w:val="00055B93"/>
    <w:rsid w:val="00055DFD"/>
    <w:rsid w:val="00056F1D"/>
    <w:rsid w:val="000608F0"/>
    <w:rsid w:val="000621A2"/>
    <w:rsid w:val="000635A1"/>
    <w:rsid w:val="00064B7C"/>
    <w:rsid w:val="000660A0"/>
    <w:rsid w:val="00067198"/>
    <w:rsid w:val="00067588"/>
    <w:rsid w:val="00067A36"/>
    <w:rsid w:val="00067D0F"/>
    <w:rsid w:val="00070124"/>
    <w:rsid w:val="00070838"/>
    <w:rsid w:val="00071332"/>
    <w:rsid w:val="000715ED"/>
    <w:rsid w:val="0007183A"/>
    <w:rsid w:val="000729E3"/>
    <w:rsid w:val="00072BB9"/>
    <w:rsid w:val="000730A4"/>
    <w:rsid w:val="00073724"/>
    <w:rsid w:val="00073BDD"/>
    <w:rsid w:val="00073F85"/>
    <w:rsid w:val="0007418F"/>
    <w:rsid w:val="000756A6"/>
    <w:rsid w:val="00076253"/>
    <w:rsid w:val="00076C75"/>
    <w:rsid w:val="00076E73"/>
    <w:rsid w:val="000771F7"/>
    <w:rsid w:val="00077E36"/>
    <w:rsid w:val="00080847"/>
    <w:rsid w:val="000815AF"/>
    <w:rsid w:val="0008261D"/>
    <w:rsid w:val="0008267A"/>
    <w:rsid w:val="000864AF"/>
    <w:rsid w:val="00086CC3"/>
    <w:rsid w:val="00086F80"/>
    <w:rsid w:val="000877E2"/>
    <w:rsid w:val="000878C8"/>
    <w:rsid w:val="00090348"/>
    <w:rsid w:val="000904A4"/>
    <w:rsid w:val="00090F75"/>
    <w:rsid w:val="00091D89"/>
    <w:rsid w:val="0009202F"/>
    <w:rsid w:val="000924FF"/>
    <w:rsid w:val="00092FAA"/>
    <w:rsid w:val="00093360"/>
    <w:rsid w:val="0009408B"/>
    <w:rsid w:val="00094177"/>
    <w:rsid w:val="000947F2"/>
    <w:rsid w:val="00094878"/>
    <w:rsid w:val="000952D3"/>
    <w:rsid w:val="00095937"/>
    <w:rsid w:val="00096CD5"/>
    <w:rsid w:val="00097550"/>
    <w:rsid w:val="00097A3A"/>
    <w:rsid w:val="000A0CA1"/>
    <w:rsid w:val="000A1701"/>
    <w:rsid w:val="000A2B8B"/>
    <w:rsid w:val="000A37A0"/>
    <w:rsid w:val="000A432F"/>
    <w:rsid w:val="000A4D54"/>
    <w:rsid w:val="000A4E38"/>
    <w:rsid w:val="000A52F2"/>
    <w:rsid w:val="000A5831"/>
    <w:rsid w:val="000A635B"/>
    <w:rsid w:val="000A71D9"/>
    <w:rsid w:val="000A7393"/>
    <w:rsid w:val="000A7542"/>
    <w:rsid w:val="000B0256"/>
    <w:rsid w:val="000B03D6"/>
    <w:rsid w:val="000B07D3"/>
    <w:rsid w:val="000B15F8"/>
    <w:rsid w:val="000B299E"/>
    <w:rsid w:val="000B2E13"/>
    <w:rsid w:val="000B408F"/>
    <w:rsid w:val="000B46A3"/>
    <w:rsid w:val="000B593D"/>
    <w:rsid w:val="000B630C"/>
    <w:rsid w:val="000C01BD"/>
    <w:rsid w:val="000C0929"/>
    <w:rsid w:val="000C1648"/>
    <w:rsid w:val="000C3A06"/>
    <w:rsid w:val="000C45B8"/>
    <w:rsid w:val="000C485F"/>
    <w:rsid w:val="000C593A"/>
    <w:rsid w:val="000C6269"/>
    <w:rsid w:val="000C6721"/>
    <w:rsid w:val="000C715D"/>
    <w:rsid w:val="000C7877"/>
    <w:rsid w:val="000C7AD1"/>
    <w:rsid w:val="000D0AB6"/>
    <w:rsid w:val="000D0D2C"/>
    <w:rsid w:val="000D140A"/>
    <w:rsid w:val="000D39D1"/>
    <w:rsid w:val="000D3A84"/>
    <w:rsid w:val="000D3F28"/>
    <w:rsid w:val="000D4ADC"/>
    <w:rsid w:val="000D6073"/>
    <w:rsid w:val="000D72AB"/>
    <w:rsid w:val="000D7487"/>
    <w:rsid w:val="000D74D1"/>
    <w:rsid w:val="000E1483"/>
    <w:rsid w:val="000E3148"/>
    <w:rsid w:val="000E34D6"/>
    <w:rsid w:val="000E45AA"/>
    <w:rsid w:val="000E4748"/>
    <w:rsid w:val="000E47B0"/>
    <w:rsid w:val="000E6ABA"/>
    <w:rsid w:val="000E6D55"/>
    <w:rsid w:val="000E7606"/>
    <w:rsid w:val="000E7608"/>
    <w:rsid w:val="000E7658"/>
    <w:rsid w:val="000E76FF"/>
    <w:rsid w:val="000E7F1C"/>
    <w:rsid w:val="000E7FD0"/>
    <w:rsid w:val="000F00F1"/>
    <w:rsid w:val="000F0D43"/>
    <w:rsid w:val="000F104C"/>
    <w:rsid w:val="000F1E64"/>
    <w:rsid w:val="000F2C66"/>
    <w:rsid w:val="000F44A9"/>
    <w:rsid w:val="000F4AD7"/>
    <w:rsid w:val="000F6525"/>
    <w:rsid w:val="000F6CBF"/>
    <w:rsid w:val="000F71BC"/>
    <w:rsid w:val="000F7770"/>
    <w:rsid w:val="00101C14"/>
    <w:rsid w:val="00101D93"/>
    <w:rsid w:val="00101FD2"/>
    <w:rsid w:val="0010237D"/>
    <w:rsid w:val="001026CA"/>
    <w:rsid w:val="00103BDD"/>
    <w:rsid w:val="00103CF3"/>
    <w:rsid w:val="001040B6"/>
    <w:rsid w:val="001041AE"/>
    <w:rsid w:val="001044AB"/>
    <w:rsid w:val="0010574D"/>
    <w:rsid w:val="00105BC5"/>
    <w:rsid w:val="00105C46"/>
    <w:rsid w:val="00106719"/>
    <w:rsid w:val="00106D66"/>
    <w:rsid w:val="00106DE4"/>
    <w:rsid w:val="0010744B"/>
    <w:rsid w:val="001111F1"/>
    <w:rsid w:val="001115EE"/>
    <w:rsid w:val="00111F0B"/>
    <w:rsid w:val="00112480"/>
    <w:rsid w:val="00112C15"/>
    <w:rsid w:val="00113258"/>
    <w:rsid w:val="00113906"/>
    <w:rsid w:val="00114666"/>
    <w:rsid w:val="00121396"/>
    <w:rsid w:val="001214C3"/>
    <w:rsid w:val="001219FA"/>
    <w:rsid w:val="001225E6"/>
    <w:rsid w:val="00124B6F"/>
    <w:rsid w:val="00126029"/>
    <w:rsid w:val="001260C0"/>
    <w:rsid w:val="00126490"/>
    <w:rsid w:val="00126B5D"/>
    <w:rsid w:val="00126C6C"/>
    <w:rsid w:val="00130268"/>
    <w:rsid w:val="0013160A"/>
    <w:rsid w:val="00131E82"/>
    <w:rsid w:val="00133CE0"/>
    <w:rsid w:val="00135104"/>
    <w:rsid w:val="00135C9B"/>
    <w:rsid w:val="001364A6"/>
    <w:rsid w:val="00136A6C"/>
    <w:rsid w:val="001410A2"/>
    <w:rsid w:val="001420AE"/>
    <w:rsid w:val="00142E4C"/>
    <w:rsid w:val="00143411"/>
    <w:rsid w:val="001445FC"/>
    <w:rsid w:val="00144B0D"/>
    <w:rsid w:val="00144DF3"/>
    <w:rsid w:val="0014526A"/>
    <w:rsid w:val="001462BB"/>
    <w:rsid w:val="00146AB4"/>
    <w:rsid w:val="001474BE"/>
    <w:rsid w:val="001474F0"/>
    <w:rsid w:val="00147FC0"/>
    <w:rsid w:val="00152AE7"/>
    <w:rsid w:val="0015350F"/>
    <w:rsid w:val="001538C9"/>
    <w:rsid w:val="00153C49"/>
    <w:rsid w:val="0015457C"/>
    <w:rsid w:val="00155114"/>
    <w:rsid w:val="001551C9"/>
    <w:rsid w:val="00155458"/>
    <w:rsid w:val="00155561"/>
    <w:rsid w:val="00156876"/>
    <w:rsid w:val="0015715E"/>
    <w:rsid w:val="001572EB"/>
    <w:rsid w:val="00160420"/>
    <w:rsid w:val="0016138A"/>
    <w:rsid w:val="00161635"/>
    <w:rsid w:val="0016269D"/>
    <w:rsid w:val="00163735"/>
    <w:rsid w:val="00164749"/>
    <w:rsid w:val="00164B29"/>
    <w:rsid w:val="0016608E"/>
    <w:rsid w:val="00167F1F"/>
    <w:rsid w:val="001707A9"/>
    <w:rsid w:val="00170890"/>
    <w:rsid w:val="00170A1A"/>
    <w:rsid w:val="00171448"/>
    <w:rsid w:val="00171576"/>
    <w:rsid w:val="00171DC3"/>
    <w:rsid w:val="00173F03"/>
    <w:rsid w:val="001743BF"/>
    <w:rsid w:val="00174689"/>
    <w:rsid w:val="00175A31"/>
    <w:rsid w:val="0017663E"/>
    <w:rsid w:val="00176C15"/>
    <w:rsid w:val="001819F6"/>
    <w:rsid w:val="00183151"/>
    <w:rsid w:val="00184DCC"/>
    <w:rsid w:val="0018587E"/>
    <w:rsid w:val="00185AD9"/>
    <w:rsid w:val="00185FF3"/>
    <w:rsid w:val="00187420"/>
    <w:rsid w:val="0019330B"/>
    <w:rsid w:val="001952E5"/>
    <w:rsid w:val="001A02CB"/>
    <w:rsid w:val="001A0C94"/>
    <w:rsid w:val="001A1AD0"/>
    <w:rsid w:val="001A2478"/>
    <w:rsid w:val="001A3659"/>
    <w:rsid w:val="001A489F"/>
    <w:rsid w:val="001A5613"/>
    <w:rsid w:val="001A59D1"/>
    <w:rsid w:val="001B0EFF"/>
    <w:rsid w:val="001B101F"/>
    <w:rsid w:val="001B47EC"/>
    <w:rsid w:val="001B5B7D"/>
    <w:rsid w:val="001B634F"/>
    <w:rsid w:val="001B7521"/>
    <w:rsid w:val="001C0AA3"/>
    <w:rsid w:val="001C0C2B"/>
    <w:rsid w:val="001C13E7"/>
    <w:rsid w:val="001C1B06"/>
    <w:rsid w:val="001C3FD8"/>
    <w:rsid w:val="001C4510"/>
    <w:rsid w:val="001C45D7"/>
    <w:rsid w:val="001C4D12"/>
    <w:rsid w:val="001C7048"/>
    <w:rsid w:val="001C7343"/>
    <w:rsid w:val="001D02AB"/>
    <w:rsid w:val="001D1287"/>
    <w:rsid w:val="001D4085"/>
    <w:rsid w:val="001D4334"/>
    <w:rsid w:val="001D5057"/>
    <w:rsid w:val="001D53BA"/>
    <w:rsid w:val="001D6270"/>
    <w:rsid w:val="001D6381"/>
    <w:rsid w:val="001D7476"/>
    <w:rsid w:val="001D7EAF"/>
    <w:rsid w:val="001E03D8"/>
    <w:rsid w:val="001E04B9"/>
    <w:rsid w:val="001E1328"/>
    <w:rsid w:val="001E171A"/>
    <w:rsid w:val="001E1BC8"/>
    <w:rsid w:val="001E25DC"/>
    <w:rsid w:val="001E2C29"/>
    <w:rsid w:val="001E5432"/>
    <w:rsid w:val="001F047E"/>
    <w:rsid w:val="001F222B"/>
    <w:rsid w:val="001F330C"/>
    <w:rsid w:val="001F47FC"/>
    <w:rsid w:val="001F63C9"/>
    <w:rsid w:val="001F6AC8"/>
    <w:rsid w:val="00200602"/>
    <w:rsid w:val="00201296"/>
    <w:rsid w:val="00201773"/>
    <w:rsid w:val="00201DAD"/>
    <w:rsid w:val="00202393"/>
    <w:rsid w:val="00202604"/>
    <w:rsid w:val="00202C08"/>
    <w:rsid w:val="002030F6"/>
    <w:rsid w:val="00203330"/>
    <w:rsid w:val="00203BDA"/>
    <w:rsid w:val="00204504"/>
    <w:rsid w:val="002045A6"/>
    <w:rsid w:val="00204C4E"/>
    <w:rsid w:val="002058AB"/>
    <w:rsid w:val="00206FF5"/>
    <w:rsid w:val="002100D5"/>
    <w:rsid w:val="0021043B"/>
    <w:rsid w:val="00210CBD"/>
    <w:rsid w:val="0021198A"/>
    <w:rsid w:val="00212206"/>
    <w:rsid w:val="00213371"/>
    <w:rsid w:val="002139E0"/>
    <w:rsid w:val="0021431A"/>
    <w:rsid w:val="002152E9"/>
    <w:rsid w:val="00215B6A"/>
    <w:rsid w:val="00216509"/>
    <w:rsid w:val="00221811"/>
    <w:rsid w:val="00221E93"/>
    <w:rsid w:val="00222198"/>
    <w:rsid w:val="00222926"/>
    <w:rsid w:val="002239CC"/>
    <w:rsid w:val="00223D94"/>
    <w:rsid w:val="0022638C"/>
    <w:rsid w:val="002263F4"/>
    <w:rsid w:val="00231FD5"/>
    <w:rsid w:val="002322C7"/>
    <w:rsid w:val="00232B25"/>
    <w:rsid w:val="002331DF"/>
    <w:rsid w:val="002336C4"/>
    <w:rsid w:val="002338CC"/>
    <w:rsid w:val="002365F9"/>
    <w:rsid w:val="0024031F"/>
    <w:rsid w:val="00241DA3"/>
    <w:rsid w:val="002442D0"/>
    <w:rsid w:val="00247BEA"/>
    <w:rsid w:val="002500D5"/>
    <w:rsid w:val="002505FB"/>
    <w:rsid w:val="00250E55"/>
    <w:rsid w:val="00251809"/>
    <w:rsid w:val="00251C64"/>
    <w:rsid w:val="00252A23"/>
    <w:rsid w:val="00254C2F"/>
    <w:rsid w:val="00255216"/>
    <w:rsid w:val="0025697C"/>
    <w:rsid w:val="0025704D"/>
    <w:rsid w:val="00257864"/>
    <w:rsid w:val="00257D57"/>
    <w:rsid w:val="00260227"/>
    <w:rsid w:val="00260774"/>
    <w:rsid w:val="00260CE0"/>
    <w:rsid w:val="00261755"/>
    <w:rsid w:val="00261A94"/>
    <w:rsid w:val="002628F0"/>
    <w:rsid w:val="00263292"/>
    <w:rsid w:val="0026346B"/>
    <w:rsid w:val="00265510"/>
    <w:rsid w:val="00267E21"/>
    <w:rsid w:val="002709D4"/>
    <w:rsid w:val="00271987"/>
    <w:rsid w:val="00271E62"/>
    <w:rsid w:val="00272589"/>
    <w:rsid w:val="00273758"/>
    <w:rsid w:val="002742EF"/>
    <w:rsid w:val="002747C1"/>
    <w:rsid w:val="00274FDF"/>
    <w:rsid w:val="00275E8D"/>
    <w:rsid w:val="00275EAF"/>
    <w:rsid w:val="00277404"/>
    <w:rsid w:val="002821A5"/>
    <w:rsid w:val="00282272"/>
    <w:rsid w:val="00283460"/>
    <w:rsid w:val="00283506"/>
    <w:rsid w:val="00283D3C"/>
    <w:rsid w:val="00285CAA"/>
    <w:rsid w:val="00285E48"/>
    <w:rsid w:val="00291BCB"/>
    <w:rsid w:val="00291C41"/>
    <w:rsid w:val="00293A28"/>
    <w:rsid w:val="00293FCB"/>
    <w:rsid w:val="00294E7C"/>
    <w:rsid w:val="002959D5"/>
    <w:rsid w:val="00295D51"/>
    <w:rsid w:val="002963D9"/>
    <w:rsid w:val="00296512"/>
    <w:rsid w:val="00296FE3"/>
    <w:rsid w:val="002A221D"/>
    <w:rsid w:val="002A2B36"/>
    <w:rsid w:val="002A2D6B"/>
    <w:rsid w:val="002A2E7C"/>
    <w:rsid w:val="002A4ADC"/>
    <w:rsid w:val="002B0819"/>
    <w:rsid w:val="002B08CF"/>
    <w:rsid w:val="002B2F96"/>
    <w:rsid w:val="002B34BB"/>
    <w:rsid w:val="002B3A71"/>
    <w:rsid w:val="002B49C2"/>
    <w:rsid w:val="002B4A0C"/>
    <w:rsid w:val="002B4EAF"/>
    <w:rsid w:val="002B50FF"/>
    <w:rsid w:val="002B5787"/>
    <w:rsid w:val="002B7112"/>
    <w:rsid w:val="002C015C"/>
    <w:rsid w:val="002C1A53"/>
    <w:rsid w:val="002C242F"/>
    <w:rsid w:val="002C2754"/>
    <w:rsid w:val="002C2853"/>
    <w:rsid w:val="002C2ACC"/>
    <w:rsid w:val="002C423E"/>
    <w:rsid w:val="002C4ADC"/>
    <w:rsid w:val="002C4CAF"/>
    <w:rsid w:val="002C5708"/>
    <w:rsid w:val="002C6293"/>
    <w:rsid w:val="002C697F"/>
    <w:rsid w:val="002D03BE"/>
    <w:rsid w:val="002D0A69"/>
    <w:rsid w:val="002D0A7F"/>
    <w:rsid w:val="002D10BE"/>
    <w:rsid w:val="002D1FDB"/>
    <w:rsid w:val="002D22F4"/>
    <w:rsid w:val="002D2928"/>
    <w:rsid w:val="002D2BAB"/>
    <w:rsid w:val="002D2BCC"/>
    <w:rsid w:val="002D2C5B"/>
    <w:rsid w:val="002D39FE"/>
    <w:rsid w:val="002D472C"/>
    <w:rsid w:val="002D4F79"/>
    <w:rsid w:val="002D5509"/>
    <w:rsid w:val="002D5F92"/>
    <w:rsid w:val="002D657A"/>
    <w:rsid w:val="002D65B0"/>
    <w:rsid w:val="002D6A45"/>
    <w:rsid w:val="002D6B09"/>
    <w:rsid w:val="002D7C5B"/>
    <w:rsid w:val="002E193A"/>
    <w:rsid w:val="002E1D10"/>
    <w:rsid w:val="002E48F8"/>
    <w:rsid w:val="002E4EB9"/>
    <w:rsid w:val="002E56CA"/>
    <w:rsid w:val="002E5755"/>
    <w:rsid w:val="002E6C9A"/>
    <w:rsid w:val="002E6E9E"/>
    <w:rsid w:val="002E6EBC"/>
    <w:rsid w:val="002E7941"/>
    <w:rsid w:val="002F07A2"/>
    <w:rsid w:val="002F290D"/>
    <w:rsid w:val="002F5C02"/>
    <w:rsid w:val="002F61D8"/>
    <w:rsid w:val="002F6472"/>
    <w:rsid w:val="002F6C0A"/>
    <w:rsid w:val="00300582"/>
    <w:rsid w:val="00301BC3"/>
    <w:rsid w:val="00301EEE"/>
    <w:rsid w:val="003024F6"/>
    <w:rsid w:val="00303376"/>
    <w:rsid w:val="0030418E"/>
    <w:rsid w:val="00304767"/>
    <w:rsid w:val="0030481D"/>
    <w:rsid w:val="003057FC"/>
    <w:rsid w:val="0030628D"/>
    <w:rsid w:val="003063B9"/>
    <w:rsid w:val="003070F8"/>
    <w:rsid w:val="00310B90"/>
    <w:rsid w:val="00310BB3"/>
    <w:rsid w:val="003112C2"/>
    <w:rsid w:val="0031131E"/>
    <w:rsid w:val="00311844"/>
    <w:rsid w:val="00312994"/>
    <w:rsid w:val="00312DF8"/>
    <w:rsid w:val="0031374C"/>
    <w:rsid w:val="00313C3E"/>
    <w:rsid w:val="003146CC"/>
    <w:rsid w:val="00314BA0"/>
    <w:rsid w:val="00314DCC"/>
    <w:rsid w:val="00315B52"/>
    <w:rsid w:val="003176ED"/>
    <w:rsid w:val="00317EE7"/>
    <w:rsid w:val="00320B31"/>
    <w:rsid w:val="003213AD"/>
    <w:rsid w:val="00321A13"/>
    <w:rsid w:val="003225EE"/>
    <w:rsid w:val="003228E7"/>
    <w:rsid w:val="00322A15"/>
    <w:rsid w:val="00325A6A"/>
    <w:rsid w:val="003260B0"/>
    <w:rsid w:val="003262DE"/>
    <w:rsid w:val="0032682F"/>
    <w:rsid w:val="00326C3E"/>
    <w:rsid w:val="00326E3F"/>
    <w:rsid w:val="003270DD"/>
    <w:rsid w:val="00331258"/>
    <w:rsid w:val="00331702"/>
    <w:rsid w:val="00331763"/>
    <w:rsid w:val="00332F63"/>
    <w:rsid w:val="00334BD1"/>
    <w:rsid w:val="00334F54"/>
    <w:rsid w:val="00335D7F"/>
    <w:rsid w:val="00336644"/>
    <w:rsid w:val="00337C2D"/>
    <w:rsid w:val="00340D51"/>
    <w:rsid w:val="0034266F"/>
    <w:rsid w:val="00342760"/>
    <w:rsid w:val="00343857"/>
    <w:rsid w:val="00343BC4"/>
    <w:rsid w:val="00345BF3"/>
    <w:rsid w:val="00345F88"/>
    <w:rsid w:val="00346C54"/>
    <w:rsid w:val="00346F0B"/>
    <w:rsid w:val="003470A4"/>
    <w:rsid w:val="00347C7F"/>
    <w:rsid w:val="003507FB"/>
    <w:rsid w:val="003509B1"/>
    <w:rsid w:val="00351C18"/>
    <w:rsid w:val="0035360D"/>
    <w:rsid w:val="003546BE"/>
    <w:rsid w:val="00355BEF"/>
    <w:rsid w:val="00355F0A"/>
    <w:rsid w:val="00355F43"/>
    <w:rsid w:val="00357A1C"/>
    <w:rsid w:val="00360903"/>
    <w:rsid w:val="00361B7B"/>
    <w:rsid w:val="00363429"/>
    <w:rsid w:val="00364439"/>
    <w:rsid w:val="00364641"/>
    <w:rsid w:val="00364EF6"/>
    <w:rsid w:val="0036515C"/>
    <w:rsid w:val="003659D3"/>
    <w:rsid w:val="00367E64"/>
    <w:rsid w:val="003708F8"/>
    <w:rsid w:val="00370C53"/>
    <w:rsid w:val="003719AA"/>
    <w:rsid w:val="00372306"/>
    <w:rsid w:val="00372732"/>
    <w:rsid w:val="00372804"/>
    <w:rsid w:val="0037393C"/>
    <w:rsid w:val="00373CC7"/>
    <w:rsid w:val="003749CC"/>
    <w:rsid w:val="00375E29"/>
    <w:rsid w:val="0037624A"/>
    <w:rsid w:val="00376E3D"/>
    <w:rsid w:val="0038079A"/>
    <w:rsid w:val="003816EF"/>
    <w:rsid w:val="003820A8"/>
    <w:rsid w:val="00382C85"/>
    <w:rsid w:val="0038339A"/>
    <w:rsid w:val="0038681C"/>
    <w:rsid w:val="0038689A"/>
    <w:rsid w:val="00386D1B"/>
    <w:rsid w:val="003905A4"/>
    <w:rsid w:val="00390691"/>
    <w:rsid w:val="00390B68"/>
    <w:rsid w:val="003914E3"/>
    <w:rsid w:val="0039168D"/>
    <w:rsid w:val="0039174E"/>
    <w:rsid w:val="00392D12"/>
    <w:rsid w:val="00394C12"/>
    <w:rsid w:val="0039520E"/>
    <w:rsid w:val="0039557A"/>
    <w:rsid w:val="00396C07"/>
    <w:rsid w:val="00396D7C"/>
    <w:rsid w:val="0039763B"/>
    <w:rsid w:val="0039782E"/>
    <w:rsid w:val="003A2F2C"/>
    <w:rsid w:val="003A31C2"/>
    <w:rsid w:val="003A3400"/>
    <w:rsid w:val="003A44ED"/>
    <w:rsid w:val="003A74D5"/>
    <w:rsid w:val="003B0195"/>
    <w:rsid w:val="003B02A2"/>
    <w:rsid w:val="003B0662"/>
    <w:rsid w:val="003B1B92"/>
    <w:rsid w:val="003B2ADB"/>
    <w:rsid w:val="003B330A"/>
    <w:rsid w:val="003B377A"/>
    <w:rsid w:val="003B380B"/>
    <w:rsid w:val="003B3D3F"/>
    <w:rsid w:val="003B4759"/>
    <w:rsid w:val="003B5C63"/>
    <w:rsid w:val="003B646D"/>
    <w:rsid w:val="003B6A04"/>
    <w:rsid w:val="003B6AAD"/>
    <w:rsid w:val="003C051F"/>
    <w:rsid w:val="003C18A6"/>
    <w:rsid w:val="003C23B2"/>
    <w:rsid w:val="003C2F1E"/>
    <w:rsid w:val="003C54B1"/>
    <w:rsid w:val="003C7215"/>
    <w:rsid w:val="003C775B"/>
    <w:rsid w:val="003D0CEA"/>
    <w:rsid w:val="003D0FF1"/>
    <w:rsid w:val="003D15DC"/>
    <w:rsid w:val="003D1A3C"/>
    <w:rsid w:val="003D3B23"/>
    <w:rsid w:val="003D401F"/>
    <w:rsid w:val="003D4623"/>
    <w:rsid w:val="003D4D3D"/>
    <w:rsid w:val="003D4D8B"/>
    <w:rsid w:val="003D51CF"/>
    <w:rsid w:val="003D5AB8"/>
    <w:rsid w:val="003E087C"/>
    <w:rsid w:val="003E0ADB"/>
    <w:rsid w:val="003E0FD1"/>
    <w:rsid w:val="003E2107"/>
    <w:rsid w:val="003E213B"/>
    <w:rsid w:val="003E271B"/>
    <w:rsid w:val="003E361B"/>
    <w:rsid w:val="003E44DB"/>
    <w:rsid w:val="003E6FDC"/>
    <w:rsid w:val="003F0416"/>
    <w:rsid w:val="003F1141"/>
    <w:rsid w:val="003F1273"/>
    <w:rsid w:val="003F22A8"/>
    <w:rsid w:val="003F3326"/>
    <w:rsid w:val="003F420A"/>
    <w:rsid w:val="003F5441"/>
    <w:rsid w:val="003F6B6D"/>
    <w:rsid w:val="003F759E"/>
    <w:rsid w:val="003F79AB"/>
    <w:rsid w:val="003F7A10"/>
    <w:rsid w:val="004004EE"/>
    <w:rsid w:val="004005D7"/>
    <w:rsid w:val="00402A0C"/>
    <w:rsid w:val="00402C4E"/>
    <w:rsid w:val="004030F8"/>
    <w:rsid w:val="00403D20"/>
    <w:rsid w:val="0040407C"/>
    <w:rsid w:val="00404DFA"/>
    <w:rsid w:val="00404FFD"/>
    <w:rsid w:val="00405CB0"/>
    <w:rsid w:val="00407279"/>
    <w:rsid w:val="0041186B"/>
    <w:rsid w:val="00411CE1"/>
    <w:rsid w:val="0041369F"/>
    <w:rsid w:val="00413BED"/>
    <w:rsid w:val="004144CE"/>
    <w:rsid w:val="004146DD"/>
    <w:rsid w:val="004147D6"/>
    <w:rsid w:val="00414957"/>
    <w:rsid w:val="00415628"/>
    <w:rsid w:val="00416050"/>
    <w:rsid w:val="00416C85"/>
    <w:rsid w:val="0041727C"/>
    <w:rsid w:val="004207E9"/>
    <w:rsid w:val="00420EBA"/>
    <w:rsid w:val="00421263"/>
    <w:rsid w:val="00421CB0"/>
    <w:rsid w:val="00422418"/>
    <w:rsid w:val="00422791"/>
    <w:rsid w:val="00422B5B"/>
    <w:rsid w:val="004247F2"/>
    <w:rsid w:val="0042518B"/>
    <w:rsid w:val="004301B0"/>
    <w:rsid w:val="004302FE"/>
    <w:rsid w:val="0043063A"/>
    <w:rsid w:val="004306E1"/>
    <w:rsid w:val="00433635"/>
    <w:rsid w:val="00433822"/>
    <w:rsid w:val="004350E5"/>
    <w:rsid w:val="00435F0D"/>
    <w:rsid w:val="004371B9"/>
    <w:rsid w:val="0043737A"/>
    <w:rsid w:val="0044063B"/>
    <w:rsid w:val="00441A0D"/>
    <w:rsid w:val="00441AC6"/>
    <w:rsid w:val="00441C2E"/>
    <w:rsid w:val="004421A7"/>
    <w:rsid w:val="0044357C"/>
    <w:rsid w:val="004436F6"/>
    <w:rsid w:val="004454F1"/>
    <w:rsid w:val="00446608"/>
    <w:rsid w:val="0044672C"/>
    <w:rsid w:val="00446921"/>
    <w:rsid w:val="004473F9"/>
    <w:rsid w:val="0045037D"/>
    <w:rsid w:val="00452908"/>
    <w:rsid w:val="00453FAD"/>
    <w:rsid w:val="004572A4"/>
    <w:rsid w:val="004646A1"/>
    <w:rsid w:val="004651AB"/>
    <w:rsid w:val="00465250"/>
    <w:rsid w:val="0046562E"/>
    <w:rsid w:val="00473398"/>
    <w:rsid w:val="004740E8"/>
    <w:rsid w:val="00476662"/>
    <w:rsid w:val="00477282"/>
    <w:rsid w:val="004773D6"/>
    <w:rsid w:val="004775C8"/>
    <w:rsid w:val="0048164D"/>
    <w:rsid w:val="00481782"/>
    <w:rsid w:val="0048250A"/>
    <w:rsid w:val="0048295A"/>
    <w:rsid w:val="00483194"/>
    <w:rsid w:val="004841C8"/>
    <w:rsid w:val="0048615D"/>
    <w:rsid w:val="00486577"/>
    <w:rsid w:val="00487017"/>
    <w:rsid w:val="00487FEE"/>
    <w:rsid w:val="0049009E"/>
    <w:rsid w:val="00490B00"/>
    <w:rsid w:val="00491B85"/>
    <w:rsid w:val="004928C9"/>
    <w:rsid w:val="0049547A"/>
    <w:rsid w:val="00495CDB"/>
    <w:rsid w:val="00496661"/>
    <w:rsid w:val="00497753"/>
    <w:rsid w:val="00497CAC"/>
    <w:rsid w:val="00497DE0"/>
    <w:rsid w:val="004A00C8"/>
    <w:rsid w:val="004A1933"/>
    <w:rsid w:val="004A2C3C"/>
    <w:rsid w:val="004A4A72"/>
    <w:rsid w:val="004A4D6B"/>
    <w:rsid w:val="004A505A"/>
    <w:rsid w:val="004A524C"/>
    <w:rsid w:val="004A5528"/>
    <w:rsid w:val="004A6811"/>
    <w:rsid w:val="004A739F"/>
    <w:rsid w:val="004A7D0B"/>
    <w:rsid w:val="004B0213"/>
    <w:rsid w:val="004B099A"/>
    <w:rsid w:val="004B1D6C"/>
    <w:rsid w:val="004B2AEB"/>
    <w:rsid w:val="004B2D63"/>
    <w:rsid w:val="004B3750"/>
    <w:rsid w:val="004B37A8"/>
    <w:rsid w:val="004B3DA9"/>
    <w:rsid w:val="004B45EB"/>
    <w:rsid w:val="004B4699"/>
    <w:rsid w:val="004B70D8"/>
    <w:rsid w:val="004B74BC"/>
    <w:rsid w:val="004C04E8"/>
    <w:rsid w:val="004C0C3A"/>
    <w:rsid w:val="004C32E9"/>
    <w:rsid w:val="004C338B"/>
    <w:rsid w:val="004C61C0"/>
    <w:rsid w:val="004C6A43"/>
    <w:rsid w:val="004C6FDF"/>
    <w:rsid w:val="004D1605"/>
    <w:rsid w:val="004D303B"/>
    <w:rsid w:val="004D34D0"/>
    <w:rsid w:val="004D3861"/>
    <w:rsid w:val="004D6CF4"/>
    <w:rsid w:val="004D7C2C"/>
    <w:rsid w:val="004E0C31"/>
    <w:rsid w:val="004E3334"/>
    <w:rsid w:val="004E34FE"/>
    <w:rsid w:val="004E5427"/>
    <w:rsid w:val="004E574F"/>
    <w:rsid w:val="004E5EBF"/>
    <w:rsid w:val="004E65C9"/>
    <w:rsid w:val="004E66C8"/>
    <w:rsid w:val="004F0A0A"/>
    <w:rsid w:val="004F160C"/>
    <w:rsid w:val="004F1C41"/>
    <w:rsid w:val="004F2FD9"/>
    <w:rsid w:val="004F5F3C"/>
    <w:rsid w:val="004F63FB"/>
    <w:rsid w:val="004F6496"/>
    <w:rsid w:val="004F68AE"/>
    <w:rsid w:val="004F6AF0"/>
    <w:rsid w:val="004F78D5"/>
    <w:rsid w:val="00500905"/>
    <w:rsid w:val="00500A21"/>
    <w:rsid w:val="00500D4F"/>
    <w:rsid w:val="00500E3C"/>
    <w:rsid w:val="00503290"/>
    <w:rsid w:val="00503CD4"/>
    <w:rsid w:val="00503E75"/>
    <w:rsid w:val="0050612B"/>
    <w:rsid w:val="00506159"/>
    <w:rsid w:val="00507087"/>
    <w:rsid w:val="00507431"/>
    <w:rsid w:val="00511263"/>
    <w:rsid w:val="0051238F"/>
    <w:rsid w:val="00512567"/>
    <w:rsid w:val="0051305D"/>
    <w:rsid w:val="005141F5"/>
    <w:rsid w:val="0051440A"/>
    <w:rsid w:val="005155F2"/>
    <w:rsid w:val="00516772"/>
    <w:rsid w:val="00516F49"/>
    <w:rsid w:val="00517F92"/>
    <w:rsid w:val="00522CF2"/>
    <w:rsid w:val="00522FA3"/>
    <w:rsid w:val="00523061"/>
    <w:rsid w:val="00524459"/>
    <w:rsid w:val="00524D33"/>
    <w:rsid w:val="0052523D"/>
    <w:rsid w:val="00525AB6"/>
    <w:rsid w:val="0052710C"/>
    <w:rsid w:val="0053103F"/>
    <w:rsid w:val="005324AD"/>
    <w:rsid w:val="00533EFE"/>
    <w:rsid w:val="00535566"/>
    <w:rsid w:val="00535D14"/>
    <w:rsid w:val="0053694E"/>
    <w:rsid w:val="00537BAB"/>
    <w:rsid w:val="00537FBF"/>
    <w:rsid w:val="00540503"/>
    <w:rsid w:val="00541348"/>
    <w:rsid w:val="005416CE"/>
    <w:rsid w:val="0054176D"/>
    <w:rsid w:val="005421ED"/>
    <w:rsid w:val="0054375C"/>
    <w:rsid w:val="0054680E"/>
    <w:rsid w:val="00546886"/>
    <w:rsid w:val="00546B92"/>
    <w:rsid w:val="00547410"/>
    <w:rsid w:val="00550023"/>
    <w:rsid w:val="0055037E"/>
    <w:rsid w:val="005503A1"/>
    <w:rsid w:val="005505FC"/>
    <w:rsid w:val="005511B8"/>
    <w:rsid w:val="005516E1"/>
    <w:rsid w:val="00555CDD"/>
    <w:rsid w:val="00560CB3"/>
    <w:rsid w:val="005612B3"/>
    <w:rsid w:val="00562782"/>
    <w:rsid w:val="005632E9"/>
    <w:rsid w:val="00563311"/>
    <w:rsid w:val="0056387D"/>
    <w:rsid w:val="00563AA3"/>
    <w:rsid w:val="00563ED5"/>
    <w:rsid w:val="00564435"/>
    <w:rsid w:val="00564F05"/>
    <w:rsid w:val="005668DA"/>
    <w:rsid w:val="0056798C"/>
    <w:rsid w:val="00571240"/>
    <w:rsid w:val="00571BFC"/>
    <w:rsid w:val="005724C5"/>
    <w:rsid w:val="00573D84"/>
    <w:rsid w:val="00575247"/>
    <w:rsid w:val="00576066"/>
    <w:rsid w:val="0057671C"/>
    <w:rsid w:val="00576FF2"/>
    <w:rsid w:val="0058314F"/>
    <w:rsid w:val="0058330A"/>
    <w:rsid w:val="0058438B"/>
    <w:rsid w:val="005849D1"/>
    <w:rsid w:val="00585C2C"/>
    <w:rsid w:val="00586013"/>
    <w:rsid w:val="005862A2"/>
    <w:rsid w:val="00587B7C"/>
    <w:rsid w:val="00587BFE"/>
    <w:rsid w:val="00587F8A"/>
    <w:rsid w:val="00590874"/>
    <w:rsid w:val="005909B3"/>
    <w:rsid w:val="00590C87"/>
    <w:rsid w:val="00590FD2"/>
    <w:rsid w:val="005919A8"/>
    <w:rsid w:val="00592405"/>
    <w:rsid w:val="00594058"/>
    <w:rsid w:val="0059616F"/>
    <w:rsid w:val="00597155"/>
    <w:rsid w:val="00597A34"/>
    <w:rsid w:val="00597E53"/>
    <w:rsid w:val="00597ECB"/>
    <w:rsid w:val="005A0649"/>
    <w:rsid w:val="005A0FB1"/>
    <w:rsid w:val="005A198E"/>
    <w:rsid w:val="005A1BBD"/>
    <w:rsid w:val="005A2519"/>
    <w:rsid w:val="005A3862"/>
    <w:rsid w:val="005A69EC"/>
    <w:rsid w:val="005A7C13"/>
    <w:rsid w:val="005A7DEC"/>
    <w:rsid w:val="005B1315"/>
    <w:rsid w:val="005B13A9"/>
    <w:rsid w:val="005B1C54"/>
    <w:rsid w:val="005B27B8"/>
    <w:rsid w:val="005B2ED2"/>
    <w:rsid w:val="005B3354"/>
    <w:rsid w:val="005B4DC2"/>
    <w:rsid w:val="005B5A4E"/>
    <w:rsid w:val="005B638A"/>
    <w:rsid w:val="005B6582"/>
    <w:rsid w:val="005C123D"/>
    <w:rsid w:val="005C178B"/>
    <w:rsid w:val="005C1DE1"/>
    <w:rsid w:val="005C363D"/>
    <w:rsid w:val="005C500A"/>
    <w:rsid w:val="005C61A3"/>
    <w:rsid w:val="005C6AA4"/>
    <w:rsid w:val="005D035A"/>
    <w:rsid w:val="005D0380"/>
    <w:rsid w:val="005D0E5B"/>
    <w:rsid w:val="005D15F4"/>
    <w:rsid w:val="005D176E"/>
    <w:rsid w:val="005D379D"/>
    <w:rsid w:val="005D389A"/>
    <w:rsid w:val="005D3FAB"/>
    <w:rsid w:val="005D5781"/>
    <w:rsid w:val="005D6218"/>
    <w:rsid w:val="005D6E74"/>
    <w:rsid w:val="005D762F"/>
    <w:rsid w:val="005E13B2"/>
    <w:rsid w:val="005E17F6"/>
    <w:rsid w:val="005E2682"/>
    <w:rsid w:val="005E3373"/>
    <w:rsid w:val="005E50CF"/>
    <w:rsid w:val="005E6A08"/>
    <w:rsid w:val="005E6DA6"/>
    <w:rsid w:val="005E7E15"/>
    <w:rsid w:val="005F0391"/>
    <w:rsid w:val="005F0F66"/>
    <w:rsid w:val="005F1E0B"/>
    <w:rsid w:val="005F208D"/>
    <w:rsid w:val="005F2628"/>
    <w:rsid w:val="005F2F26"/>
    <w:rsid w:val="005F3CDA"/>
    <w:rsid w:val="005F4486"/>
    <w:rsid w:val="005F4CD0"/>
    <w:rsid w:val="005F6808"/>
    <w:rsid w:val="005F68CF"/>
    <w:rsid w:val="005F7828"/>
    <w:rsid w:val="00600196"/>
    <w:rsid w:val="00602118"/>
    <w:rsid w:val="0060344E"/>
    <w:rsid w:val="006038F8"/>
    <w:rsid w:val="00603FC5"/>
    <w:rsid w:val="00605BAB"/>
    <w:rsid w:val="00606F88"/>
    <w:rsid w:val="006077F3"/>
    <w:rsid w:val="00607890"/>
    <w:rsid w:val="006124C2"/>
    <w:rsid w:val="00614095"/>
    <w:rsid w:val="00614A29"/>
    <w:rsid w:val="006158FF"/>
    <w:rsid w:val="00615D58"/>
    <w:rsid w:val="00615FF6"/>
    <w:rsid w:val="006161F0"/>
    <w:rsid w:val="006165F7"/>
    <w:rsid w:val="00616C30"/>
    <w:rsid w:val="00620A84"/>
    <w:rsid w:val="00620CF8"/>
    <w:rsid w:val="00621086"/>
    <w:rsid w:val="00621087"/>
    <w:rsid w:val="006212E0"/>
    <w:rsid w:val="006217F0"/>
    <w:rsid w:val="00621E78"/>
    <w:rsid w:val="00623A05"/>
    <w:rsid w:val="00624178"/>
    <w:rsid w:val="00624499"/>
    <w:rsid w:val="00625CD7"/>
    <w:rsid w:val="006269F5"/>
    <w:rsid w:val="00627261"/>
    <w:rsid w:val="0062739F"/>
    <w:rsid w:val="0063007D"/>
    <w:rsid w:val="0063122B"/>
    <w:rsid w:val="00631F43"/>
    <w:rsid w:val="00633AEF"/>
    <w:rsid w:val="006346FC"/>
    <w:rsid w:val="00635404"/>
    <w:rsid w:val="0063684D"/>
    <w:rsid w:val="00636E69"/>
    <w:rsid w:val="00640CC5"/>
    <w:rsid w:val="00641B93"/>
    <w:rsid w:val="0064229F"/>
    <w:rsid w:val="006438DD"/>
    <w:rsid w:val="00643D6A"/>
    <w:rsid w:val="006444B3"/>
    <w:rsid w:val="00646604"/>
    <w:rsid w:val="00647C9D"/>
    <w:rsid w:val="006500AC"/>
    <w:rsid w:val="00650C6F"/>
    <w:rsid w:val="006520ED"/>
    <w:rsid w:val="006523D7"/>
    <w:rsid w:val="00653EBA"/>
    <w:rsid w:val="00656F0D"/>
    <w:rsid w:val="00657759"/>
    <w:rsid w:val="006607C7"/>
    <w:rsid w:val="00661A75"/>
    <w:rsid w:val="00662986"/>
    <w:rsid w:val="00662D1F"/>
    <w:rsid w:val="006649F6"/>
    <w:rsid w:val="00664AF5"/>
    <w:rsid w:val="00664C29"/>
    <w:rsid w:val="00665A93"/>
    <w:rsid w:val="00665BA2"/>
    <w:rsid w:val="00667F1B"/>
    <w:rsid w:val="00670A9D"/>
    <w:rsid w:val="006713F8"/>
    <w:rsid w:val="00673120"/>
    <w:rsid w:val="00675A81"/>
    <w:rsid w:val="00675CEA"/>
    <w:rsid w:val="00675F47"/>
    <w:rsid w:val="00676C10"/>
    <w:rsid w:val="00680163"/>
    <w:rsid w:val="006803F5"/>
    <w:rsid w:val="006811CB"/>
    <w:rsid w:val="00681801"/>
    <w:rsid w:val="00681D25"/>
    <w:rsid w:val="006820C1"/>
    <w:rsid w:val="006825FD"/>
    <w:rsid w:val="0068286E"/>
    <w:rsid w:val="00682BD5"/>
    <w:rsid w:val="00690171"/>
    <w:rsid w:val="006903A5"/>
    <w:rsid w:val="00690BF8"/>
    <w:rsid w:val="00692FA7"/>
    <w:rsid w:val="0069389D"/>
    <w:rsid w:val="00693B41"/>
    <w:rsid w:val="0069465C"/>
    <w:rsid w:val="006954BB"/>
    <w:rsid w:val="00696DB4"/>
    <w:rsid w:val="00697A16"/>
    <w:rsid w:val="006A0C54"/>
    <w:rsid w:val="006A14D9"/>
    <w:rsid w:val="006A276B"/>
    <w:rsid w:val="006A29C8"/>
    <w:rsid w:val="006A2AE5"/>
    <w:rsid w:val="006A462D"/>
    <w:rsid w:val="006A6636"/>
    <w:rsid w:val="006A7648"/>
    <w:rsid w:val="006B06C3"/>
    <w:rsid w:val="006B17E4"/>
    <w:rsid w:val="006B2C29"/>
    <w:rsid w:val="006B3D9C"/>
    <w:rsid w:val="006B4923"/>
    <w:rsid w:val="006B50FA"/>
    <w:rsid w:val="006B522C"/>
    <w:rsid w:val="006B77FD"/>
    <w:rsid w:val="006B7A2A"/>
    <w:rsid w:val="006C0733"/>
    <w:rsid w:val="006C0754"/>
    <w:rsid w:val="006C23C0"/>
    <w:rsid w:val="006C43D2"/>
    <w:rsid w:val="006C5913"/>
    <w:rsid w:val="006C79BD"/>
    <w:rsid w:val="006C7B04"/>
    <w:rsid w:val="006C7D1A"/>
    <w:rsid w:val="006D02A1"/>
    <w:rsid w:val="006D11D9"/>
    <w:rsid w:val="006D1CAD"/>
    <w:rsid w:val="006D1F1B"/>
    <w:rsid w:val="006D2868"/>
    <w:rsid w:val="006D2DD6"/>
    <w:rsid w:val="006D36DA"/>
    <w:rsid w:val="006D4094"/>
    <w:rsid w:val="006E3B83"/>
    <w:rsid w:val="006E3F18"/>
    <w:rsid w:val="006E414C"/>
    <w:rsid w:val="006E59BC"/>
    <w:rsid w:val="006E6F87"/>
    <w:rsid w:val="006E757C"/>
    <w:rsid w:val="006F0478"/>
    <w:rsid w:val="006F12D2"/>
    <w:rsid w:val="006F1D76"/>
    <w:rsid w:val="006F210D"/>
    <w:rsid w:val="006F44FB"/>
    <w:rsid w:val="006F472E"/>
    <w:rsid w:val="006F486E"/>
    <w:rsid w:val="006F4D72"/>
    <w:rsid w:val="006F5553"/>
    <w:rsid w:val="006F63D9"/>
    <w:rsid w:val="006F66AD"/>
    <w:rsid w:val="006F6C42"/>
    <w:rsid w:val="006F6E4F"/>
    <w:rsid w:val="006F74F7"/>
    <w:rsid w:val="006F7C4C"/>
    <w:rsid w:val="006F7CAB"/>
    <w:rsid w:val="00703833"/>
    <w:rsid w:val="0070485C"/>
    <w:rsid w:val="00704865"/>
    <w:rsid w:val="00704D0E"/>
    <w:rsid w:val="00705108"/>
    <w:rsid w:val="00706A71"/>
    <w:rsid w:val="00710A36"/>
    <w:rsid w:val="007115F9"/>
    <w:rsid w:val="0071230C"/>
    <w:rsid w:val="007125DF"/>
    <w:rsid w:val="007134AA"/>
    <w:rsid w:val="007140E1"/>
    <w:rsid w:val="007146C5"/>
    <w:rsid w:val="00715944"/>
    <w:rsid w:val="007169F1"/>
    <w:rsid w:val="00717C0A"/>
    <w:rsid w:val="00720D4F"/>
    <w:rsid w:val="007234A3"/>
    <w:rsid w:val="007248A2"/>
    <w:rsid w:val="00724D96"/>
    <w:rsid w:val="00724E44"/>
    <w:rsid w:val="00727B5A"/>
    <w:rsid w:val="0073002A"/>
    <w:rsid w:val="00730A4B"/>
    <w:rsid w:val="00731BC8"/>
    <w:rsid w:val="00732B2D"/>
    <w:rsid w:val="00733B8F"/>
    <w:rsid w:val="00734310"/>
    <w:rsid w:val="007344C7"/>
    <w:rsid w:val="00736707"/>
    <w:rsid w:val="0073674B"/>
    <w:rsid w:val="00736BD5"/>
    <w:rsid w:val="00736C9A"/>
    <w:rsid w:val="00741091"/>
    <w:rsid w:val="0074244E"/>
    <w:rsid w:val="00742555"/>
    <w:rsid w:val="0074308D"/>
    <w:rsid w:val="00743B65"/>
    <w:rsid w:val="00743D2A"/>
    <w:rsid w:val="00744446"/>
    <w:rsid w:val="007463FF"/>
    <w:rsid w:val="0074640A"/>
    <w:rsid w:val="00746958"/>
    <w:rsid w:val="00747015"/>
    <w:rsid w:val="0074749D"/>
    <w:rsid w:val="0075089F"/>
    <w:rsid w:val="0075157A"/>
    <w:rsid w:val="00752043"/>
    <w:rsid w:val="007525B4"/>
    <w:rsid w:val="00752750"/>
    <w:rsid w:val="00753DF7"/>
    <w:rsid w:val="00757172"/>
    <w:rsid w:val="007576AC"/>
    <w:rsid w:val="00760E4C"/>
    <w:rsid w:val="0076363D"/>
    <w:rsid w:val="00763682"/>
    <w:rsid w:val="0076393A"/>
    <w:rsid w:val="00763BB2"/>
    <w:rsid w:val="00765A58"/>
    <w:rsid w:val="00765EEE"/>
    <w:rsid w:val="00770251"/>
    <w:rsid w:val="00771969"/>
    <w:rsid w:val="0077258E"/>
    <w:rsid w:val="007747AA"/>
    <w:rsid w:val="00776715"/>
    <w:rsid w:val="00776D65"/>
    <w:rsid w:val="007773AC"/>
    <w:rsid w:val="00781057"/>
    <w:rsid w:val="00782040"/>
    <w:rsid w:val="00782204"/>
    <w:rsid w:val="00782483"/>
    <w:rsid w:val="007824E7"/>
    <w:rsid w:val="00782609"/>
    <w:rsid w:val="007837EC"/>
    <w:rsid w:val="007838DD"/>
    <w:rsid w:val="00784000"/>
    <w:rsid w:val="00784F41"/>
    <w:rsid w:val="00786B72"/>
    <w:rsid w:val="0078722B"/>
    <w:rsid w:val="00787484"/>
    <w:rsid w:val="007903AF"/>
    <w:rsid w:val="00791B09"/>
    <w:rsid w:val="007922EC"/>
    <w:rsid w:val="00792F86"/>
    <w:rsid w:val="0079338B"/>
    <w:rsid w:val="00793732"/>
    <w:rsid w:val="00793B77"/>
    <w:rsid w:val="00794222"/>
    <w:rsid w:val="007954A5"/>
    <w:rsid w:val="00796EB2"/>
    <w:rsid w:val="00797F18"/>
    <w:rsid w:val="007A063B"/>
    <w:rsid w:val="007A0698"/>
    <w:rsid w:val="007A116A"/>
    <w:rsid w:val="007A18A7"/>
    <w:rsid w:val="007A1906"/>
    <w:rsid w:val="007A1A17"/>
    <w:rsid w:val="007A27CD"/>
    <w:rsid w:val="007A2FB5"/>
    <w:rsid w:val="007A42E2"/>
    <w:rsid w:val="007A4B71"/>
    <w:rsid w:val="007A5F0F"/>
    <w:rsid w:val="007A7545"/>
    <w:rsid w:val="007A77E5"/>
    <w:rsid w:val="007B11BD"/>
    <w:rsid w:val="007B148D"/>
    <w:rsid w:val="007B1612"/>
    <w:rsid w:val="007B27A2"/>
    <w:rsid w:val="007B2D4E"/>
    <w:rsid w:val="007B396D"/>
    <w:rsid w:val="007B540D"/>
    <w:rsid w:val="007B747E"/>
    <w:rsid w:val="007C009A"/>
    <w:rsid w:val="007C0CA9"/>
    <w:rsid w:val="007C1629"/>
    <w:rsid w:val="007C23B2"/>
    <w:rsid w:val="007C256C"/>
    <w:rsid w:val="007C26E4"/>
    <w:rsid w:val="007C2DFA"/>
    <w:rsid w:val="007C3D7D"/>
    <w:rsid w:val="007C4937"/>
    <w:rsid w:val="007C4EB2"/>
    <w:rsid w:val="007C534A"/>
    <w:rsid w:val="007C5720"/>
    <w:rsid w:val="007C595E"/>
    <w:rsid w:val="007C5D7D"/>
    <w:rsid w:val="007C74E1"/>
    <w:rsid w:val="007D03BB"/>
    <w:rsid w:val="007D06FC"/>
    <w:rsid w:val="007D0DD5"/>
    <w:rsid w:val="007D3507"/>
    <w:rsid w:val="007D3D8E"/>
    <w:rsid w:val="007D4680"/>
    <w:rsid w:val="007D520D"/>
    <w:rsid w:val="007D6E79"/>
    <w:rsid w:val="007D6F5B"/>
    <w:rsid w:val="007D7EFC"/>
    <w:rsid w:val="007E0293"/>
    <w:rsid w:val="007E09F0"/>
    <w:rsid w:val="007E1571"/>
    <w:rsid w:val="007E2DBF"/>
    <w:rsid w:val="007E2F75"/>
    <w:rsid w:val="007E37EB"/>
    <w:rsid w:val="007E52F1"/>
    <w:rsid w:val="007E596C"/>
    <w:rsid w:val="007F0740"/>
    <w:rsid w:val="007F0EA2"/>
    <w:rsid w:val="007F26AD"/>
    <w:rsid w:val="007F5425"/>
    <w:rsid w:val="007F5780"/>
    <w:rsid w:val="007F592B"/>
    <w:rsid w:val="007F5AD0"/>
    <w:rsid w:val="007F5D09"/>
    <w:rsid w:val="007F6373"/>
    <w:rsid w:val="00800882"/>
    <w:rsid w:val="00801825"/>
    <w:rsid w:val="00801ADB"/>
    <w:rsid w:val="00801D5B"/>
    <w:rsid w:val="008020E9"/>
    <w:rsid w:val="00802957"/>
    <w:rsid w:val="00802D45"/>
    <w:rsid w:val="00802E3A"/>
    <w:rsid w:val="00804967"/>
    <w:rsid w:val="00804DBA"/>
    <w:rsid w:val="0080500D"/>
    <w:rsid w:val="008069C5"/>
    <w:rsid w:val="008071BA"/>
    <w:rsid w:val="0081169C"/>
    <w:rsid w:val="00811B4C"/>
    <w:rsid w:val="008127D6"/>
    <w:rsid w:val="00813626"/>
    <w:rsid w:val="00813FAA"/>
    <w:rsid w:val="00814B9E"/>
    <w:rsid w:val="008174D2"/>
    <w:rsid w:val="00820916"/>
    <w:rsid w:val="00820F8D"/>
    <w:rsid w:val="00821D4D"/>
    <w:rsid w:val="00822894"/>
    <w:rsid w:val="008235D6"/>
    <w:rsid w:val="00824B42"/>
    <w:rsid w:val="0082598D"/>
    <w:rsid w:val="00827825"/>
    <w:rsid w:val="0082793F"/>
    <w:rsid w:val="00827C11"/>
    <w:rsid w:val="00831473"/>
    <w:rsid w:val="00831C18"/>
    <w:rsid w:val="00831E2A"/>
    <w:rsid w:val="00832037"/>
    <w:rsid w:val="008348B2"/>
    <w:rsid w:val="0083667F"/>
    <w:rsid w:val="00841002"/>
    <w:rsid w:val="0084101E"/>
    <w:rsid w:val="00841FD9"/>
    <w:rsid w:val="00844D9C"/>
    <w:rsid w:val="008455EF"/>
    <w:rsid w:val="00850F0A"/>
    <w:rsid w:val="00852334"/>
    <w:rsid w:val="00852B20"/>
    <w:rsid w:val="00853754"/>
    <w:rsid w:val="00854441"/>
    <w:rsid w:val="0085491C"/>
    <w:rsid w:val="00854947"/>
    <w:rsid w:val="00856898"/>
    <w:rsid w:val="008609F4"/>
    <w:rsid w:val="00863CED"/>
    <w:rsid w:val="00864669"/>
    <w:rsid w:val="00866C77"/>
    <w:rsid w:val="00866D5C"/>
    <w:rsid w:val="00870AC4"/>
    <w:rsid w:val="00871F37"/>
    <w:rsid w:val="008728AF"/>
    <w:rsid w:val="008731D2"/>
    <w:rsid w:val="00873ECB"/>
    <w:rsid w:val="00875EDF"/>
    <w:rsid w:val="00877AB0"/>
    <w:rsid w:val="00880523"/>
    <w:rsid w:val="00881721"/>
    <w:rsid w:val="00881C6B"/>
    <w:rsid w:val="00881EBE"/>
    <w:rsid w:val="00883816"/>
    <w:rsid w:val="0088400F"/>
    <w:rsid w:val="0088418D"/>
    <w:rsid w:val="008842DC"/>
    <w:rsid w:val="00884306"/>
    <w:rsid w:val="00885F53"/>
    <w:rsid w:val="008864B6"/>
    <w:rsid w:val="0088667A"/>
    <w:rsid w:val="00886BC6"/>
    <w:rsid w:val="00887198"/>
    <w:rsid w:val="008872DE"/>
    <w:rsid w:val="008921B5"/>
    <w:rsid w:val="00892AE6"/>
    <w:rsid w:val="008932C6"/>
    <w:rsid w:val="00895806"/>
    <w:rsid w:val="00895BF5"/>
    <w:rsid w:val="008969E7"/>
    <w:rsid w:val="00896B5C"/>
    <w:rsid w:val="008974E6"/>
    <w:rsid w:val="00897537"/>
    <w:rsid w:val="008A130C"/>
    <w:rsid w:val="008A2708"/>
    <w:rsid w:val="008A2BF2"/>
    <w:rsid w:val="008A4208"/>
    <w:rsid w:val="008A43D3"/>
    <w:rsid w:val="008A4417"/>
    <w:rsid w:val="008A6A4C"/>
    <w:rsid w:val="008A7848"/>
    <w:rsid w:val="008B09E0"/>
    <w:rsid w:val="008B0DE1"/>
    <w:rsid w:val="008B1D48"/>
    <w:rsid w:val="008B2660"/>
    <w:rsid w:val="008B38A0"/>
    <w:rsid w:val="008B45E9"/>
    <w:rsid w:val="008B4A1F"/>
    <w:rsid w:val="008B513E"/>
    <w:rsid w:val="008B553C"/>
    <w:rsid w:val="008B5629"/>
    <w:rsid w:val="008B6C0E"/>
    <w:rsid w:val="008B7596"/>
    <w:rsid w:val="008B7DAB"/>
    <w:rsid w:val="008C0533"/>
    <w:rsid w:val="008C098D"/>
    <w:rsid w:val="008C21EA"/>
    <w:rsid w:val="008C25F6"/>
    <w:rsid w:val="008C265C"/>
    <w:rsid w:val="008C2927"/>
    <w:rsid w:val="008C3C60"/>
    <w:rsid w:val="008C4B0A"/>
    <w:rsid w:val="008C4F64"/>
    <w:rsid w:val="008C6668"/>
    <w:rsid w:val="008D07D2"/>
    <w:rsid w:val="008D174C"/>
    <w:rsid w:val="008D2AF4"/>
    <w:rsid w:val="008D31A8"/>
    <w:rsid w:val="008D3F35"/>
    <w:rsid w:val="008D4A08"/>
    <w:rsid w:val="008D5714"/>
    <w:rsid w:val="008D591C"/>
    <w:rsid w:val="008D65D8"/>
    <w:rsid w:val="008D66AA"/>
    <w:rsid w:val="008E01C1"/>
    <w:rsid w:val="008E1EA1"/>
    <w:rsid w:val="008E2538"/>
    <w:rsid w:val="008E2E65"/>
    <w:rsid w:val="008E37A8"/>
    <w:rsid w:val="008E3A09"/>
    <w:rsid w:val="008E4049"/>
    <w:rsid w:val="008E4788"/>
    <w:rsid w:val="008E4AE6"/>
    <w:rsid w:val="008E4ECB"/>
    <w:rsid w:val="008E51ED"/>
    <w:rsid w:val="008E5EE4"/>
    <w:rsid w:val="008E6FC1"/>
    <w:rsid w:val="008E793E"/>
    <w:rsid w:val="008F20B8"/>
    <w:rsid w:val="008F27A1"/>
    <w:rsid w:val="008F2E1E"/>
    <w:rsid w:val="008F4033"/>
    <w:rsid w:val="008F41A1"/>
    <w:rsid w:val="008F43AC"/>
    <w:rsid w:val="008F4B64"/>
    <w:rsid w:val="008F526A"/>
    <w:rsid w:val="008F5547"/>
    <w:rsid w:val="008F65CB"/>
    <w:rsid w:val="008F7799"/>
    <w:rsid w:val="00900192"/>
    <w:rsid w:val="00900E4B"/>
    <w:rsid w:val="00901DBE"/>
    <w:rsid w:val="0090227F"/>
    <w:rsid w:val="00902D26"/>
    <w:rsid w:val="00903298"/>
    <w:rsid w:val="00903711"/>
    <w:rsid w:val="00904F72"/>
    <w:rsid w:val="0090505C"/>
    <w:rsid w:val="0090651B"/>
    <w:rsid w:val="00910F19"/>
    <w:rsid w:val="0091152D"/>
    <w:rsid w:val="0091159C"/>
    <w:rsid w:val="009119AD"/>
    <w:rsid w:val="00911ABF"/>
    <w:rsid w:val="00914789"/>
    <w:rsid w:val="009154C7"/>
    <w:rsid w:val="00917259"/>
    <w:rsid w:val="00920891"/>
    <w:rsid w:val="00922133"/>
    <w:rsid w:val="009227F5"/>
    <w:rsid w:val="00923D41"/>
    <w:rsid w:val="00926BC9"/>
    <w:rsid w:val="00930452"/>
    <w:rsid w:val="00930924"/>
    <w:rsid w:val="00930B20"/>
    <w:rsid w:val="0093168E"/>
    <w:rsid w:val="00931AC4"/>
    <w:rsid w:val="00932BE4"/>
    <w:rsid w:val="009337FD"/>
    <w:rsid w:val="00933F6A"/>
    <w:rsid w:val="00934932"/>
    <w:rsid w:val="00940445"/>
    <w:rsid w:val="00940B19"/>
    <w:rsid w:val="00941DEA"/>
    <w:rsid w:val="00943810"/>
    <w:rsid w:val="009461E9"/>
    <w:rsid w:val="0094663F"/>
    <w:rsid w:val="009505C5"/>
    <w:rsid w:val="00950E14"/>
    <w:rsid w:val="0095137F"/>
    <w:rsid w:val="00952108"/>
    <w:rsid w:val="0095346E"/>
    <w:rsid w:val="00953AD6"/>
    <w:rsid w:val="00954090"/>
    <w:rsid w:val="00954E15"/>
    <w:rsid w:val="009556A7"/>
    <w:rsid w:val="00956DCD"/>
    <w:rsid w:val="00960355"/>
    <w:rsid w:val="009622C1"/>
    <w:rsid w:val="00962697"/>
    <w:rsid w:val="009627DF"/>
    <w:rsid w:val="00963E0A"/>
    <w:rsid w:val="009658A6"/>
    <w:rsid w:val="009715A0"/>
    <w:rsid w:val="009716BB"/>
    <w:rsid w:val="00971C36"/>
    <w:rsid w:val="00972055"/>
    <w:rsid w:val="00972883"/>
    <w:rsid w:val="00972E42"/>
    <w:rsid w:val="00972F9C"/>
    <w:rsid w:val="009731EF"/>
    <w:rsid w:val="00973803"/>
    <w:rsid w:val="00973B96"/>
    <w:rsid w:val="0097453C"/>
    <w:rsid w:val="0097465F"/>
    <w:rsid w:val="00974C1B"/>
    <w:rsid w:val="00974E89"/>
    <w:rsid w:val="00974ED4"/>
    <w:rsid w:val="00974EED"/>
    <w:rsid w:val="00975262"/>
    <w:rsid w:val="0097554F"/>
    <w:rsid w:val="00975AD9"/>
    <w:rsid w:val="00976602"/>
    <w:rsid w:val="00976B09"/>
    <w:rsid w:val="00976C34"/>
    <w:rsid w:val="00977DB4"/>
    <w:rsid w:val="00980334"/>
    <w:rsid w:val="00982218"/>
    <w:rsid w:val="00983127"/>
    <w:rsid w:val="0098399B"/>
    <w:rsid w:val="00983E28"/>
    <w:rsid w:val="00983E80"/>
    <w:rsid w:val="00984095"/>
    <w:rsid w:val="00984B46"/>
    <w:rsid w:val="00985BD1"/>
    <w:rsid w:val="00985CF3"/>
    <w:rsid w:val="0098646D"/>
    <w:rsid w:val="009869D6"/>
    <w:rsid w:val="00986E39"/>
    <w:rsid w:val="00990632"/>
    <w:rsid w:val="009910E6"/>
    <w:rsid w:val="00993C6A"/>
    <w:rsid w:val="00994262"/>
    <w:rsid w:val="00994DE3"/>
    <w:rsid w:val="00996297"/>
    <w:rsid w:val="009976C0"/>
    <w:rsid w:val="00997863"/>
    <w:rsid w:val="00997AF2"/>
    <w:rsid w:val="009A0240"/>
    <w:rsid w:val="009A0EA2"/>
    <w:rsid w:val="009A193E"/>
    <w:rsid w:val="009A3FD0"/>
    <w:rsid w:val="009A47C3"/>
    <w:rsid w:val="009A6DB3"/>
    <w:rsid w:val="009A751E"/>
    <w:rsid w:val="009A7F95"/>
    <w:rsid w:val="009B1ED4"/>
    <w:rsid w:val="009B29DB"/>
    <w:rsid w:val="009B2B63"/>
    <w:rsid w:val="009B3BBE"/>
    <w:rsid w:val="009B49F3"/>
    <w:rsid w:val="009B52BA"/>
    <w:rsid w:val="009B64EE"/>
    <w:rsid w:val="009B6D58"/>
    <w:rsid w:val="009C0841"/>
    <w:rsid w:val="009C1FC2"/>
    <w:rsid w:val="009C32D0"/>
    <w:rsid w:val="009C47C1"/>
    <w:rsid w:val="009C62B8"/>
    <w:rsid w:val="009D2630"/>
    <w:rsid w:val="009D26FE"/>
    <w:rsid w:val="009D34E1"/>
    <w:rsid w:val="009D3759"/>
    <w:rsid w:val="009D3B4E"/>
    <w:rsid w:val="009D47DC"/>
    <w:rsid w:val="009D59A6"/>
    <w:rsid w:val="009D6D08"/>
    <w:rsid w:val="009D7090"/>
    <w:rsid w:val="009E0B90"/>
    <w:rsid w:val="009E12E5"/>
    <w:rsid w:val="009E160F"/>
    <w:rsid w:val="009E186A"/>
    <w:rsid w:val="009E1BF6"/>
    <w:rsid w:val="009E1CA1"/>
    <w:rsid w:val="009E2068"/>
    <w:rsid w:val="009E443C"/>
    <w:rsid w:val="009E4EF1"/>
    <w:rsid w:val="009E58BB"/>
    <w:rsid w:val="009E5D4F"/>
    <w:rsid w:val="009E775F"/>
    <w:rsid w:val="009F017F"/>
    <w:rsid w:val="009F03F6"/>
    <w:rsid w:val="009F063C"/>
    <w:rsid w:val="009F0D10"/>
    <w:rsid w:val="009F0D45"/>
    <w:rsid w:val="009F1BD9"/>
    <w:rsid w:val="009F1DA2"/>
    <w:rsid w:val="009F234A"/>
    <w:rsid w:val="009F2CE0"/>
    <w:rsid w:val="009F39AF"/>
    <w:rsid w:val="009F5E46"/>
    <w:rsid w:val="009F5F1C"/>
    <w:rsid w:val="009F5F68"/>
    <w:rsid w:val="009F63C9"/>
    <w:rsid w:val="00A00260"/>
    <w:rsid w:val="00A00797"/>
    <w:rsid w:val="00A00EE6"/>
    <w:rsid w:val="00A00F59"/>
    <w:rsid w:val="00A01F3C"/>
    <w:rsid w:val="00A04361"/>
    <w:rsid w:val="00A05B0F"/>
    <w:rsid w:val="00A05F6C"/>
    <w:rsid w:val="00A07AD1"/>
    <w:rsid w:val="00A07EFD"/>
    <w:rsid w:val="00A11DA4"/>
    <w:rsid w:val="00A12DCA"/>
    <w:rsid w:val="00A12DFE"/>
    <w:rsid w:val="00A13641"/>
    <w:rsid w:val="00A13CE2"/>
    <w:rsid w:val="00A153A5"/>
    <w:rsid w:val="00A157FB"/>
    <w:rsid w:val="00A15C57"/>
    <w:rsid w:val="00A15DD5"/>
    <w:rsid w:val="00A16349"/>
    <w:rsid w:val="00A16EED"/>
    <w:rsid w:val="00A1762A"/>
    <w:rsid w:val="00A221C5"/>
    <w:rsid w:val="00A2347A"/>
    <w:rsid w:val="00A2392D"/>
    <w:rsid w:val="00A23CFA"/>
    <w:rsid w:val="00A2421B"/>
    <w:rsid w:val="00A24B24"/>
    <w:rsid w:val="00A27AB5"/>
    <w:rsid w:val="00A27FBD"/>
    <w:rsid w:val="00A30476"/>
    <w:rsid w:val="00A30C21"/>
    <w:rsid w:val="00A32075"/>
    <w:rsid w:val="00A34269"/>
    <w:rsid w:val="00A34D11"/>
    <w:rsid w:val="00A34EF8"/>
    <w:rsid w:val="00A35F6E"/>
    <w:rsid w:val="00A3615E"/>
    <w:rsid w:val="00A37BA6"/>
    <w:rsid w:val="00A40A39"/>
    <w:rsid w:val="00A4142B"/>
    <w:rsid w:val="00A41567"/>
    <w:rsid w:val="00A426F3"/>
    <w:rsid w:val="00A4286E"/>
    <w:rsid w:val="00A431F4"/>
    <w:rsid w:val="00A4463F"/>
    <w:rsid w:val="00A44B9D"/>
    <w:rsid w:val="00A45270"/>
    <w:rsid w:val="00A4659B"/>
    <w:rsid w:val="00A50C47"/>
    <w:rsid w:val="00A5262A"/>
    <w:rsid w:val="00A52CA5"/>
    <w:rsid w:val="00A536E8"/>
    <w:rsid w:val="00A5598A"/>
    <w:rsid w:val="00A55D49"/>
    <w:rsid w:val="00A57A90"/>
    <w:rsid w:val="00A607EC"/>
    <w:rsid w:val="00A6126B"/>
    <w:rsid w:val="00A616A4"/>
    <w:rsid w:val="00A63258"/>
    <w:rsid w:val="00A646A2"/>
    <w:rsid w:val="00A653EF"/>
    <w:rsid w:val="00A65EB3"/>
    <w:rsid w:val="00A66DC1"/>
    <w:rsid w:val="00A67C3B"/>
    <w:rsid w:val="00A67ED4"/>
    <w:rsid w:val="00A7200F"/>
    <w:rsid w:val="00A72E01"/>
    <w:rsid w:val="00A75D92"/>
    <w:rsid w:val="00A76891"/>
    <w:rsid w:val="00A76E69"/>
    <w:rsid w:val="00A77010"/>
    <w:rsid w:val="00A778B6"/>
    <w:rsid w:val="00A80175"/>
    <w:rsid w:val="00A801F6"/>
    <w:rsid w:val="00A8037A"/>
    <w:rsid w:val="00A80D08"/>
    <w:rsid w:val="00A823FF"/>
    <w:rsid w:val="00A83792"/>
    <w:rsid w:val="00A847E1"/>
    <w:rsid w:val="00A85B83"/>
    <w:rsid w:val="00A86933"/>
    <w:rsid w:val="00A878D2"/>
    <w:rsid w:val="00A902D0"/>
    <w:rsid w:val="00A935D5"/>
    <w:rsid w:val="00A95CAE"/>
    <w:rsid w:val="00AA01ED"/>
    <w:rsid w:val="00AA0518"/>
    <w:rsid w:val="00AA0C02"/>
    <w:rsid w:val="00AA1653"/>
    <w:rsid w:val="00AA2643"/>
    <w:rsid w:val="00AA2D86"/>
    <w:rsid w:val="00AA3557"/>
    <w:rsid w:val="00AA3B93"/>
    <w:rsid w:val="00AA4D08"/>
    <w:rsid w:val="00AA5443"/>
    <w:rsid w:val="00AB0CF5"/>
    <w:rsid w:val="00AB1F14"/>
    <w:rsid w:val="00AB312C"/>
    <w:rsid w:val="00AB36D8"/>
    <w:rsid w:val="00AB3EB6"/>
    <w:rsid w:val="00AB40DC"/>
    <w:rsid w:val="00AB4BC7"/>
    <w:rsid w:val="00AB5317"/>
    <w:rsid w:val="00AB69FE"/>
    <w:rsid w:val="00AB6AA1"/>
    <w:rsid w:val="00AC013C"/>
    <w:rsid w:val="00AC2F1A"/>
    <w:rsid w:val="00AC66F7"/>
    <w:rsid w:val="00AC6B57"/>
    <w:rsid w:val="00AD02F2"/>
    <w:rsid w:val="00AD4E94"/>
    <w:rsid w:val="00AD57A0"/>
    <w:rsid w:val="00AD6995"/>
    <w:rsid w:val="00AD6B72"/>
    <w:rsid w:val="00AD7F25"/>
    <w:rsid w:val="00AE07B9"/>
    <w:rsid w:val="00AE09DE"/>
    <w:rsid w:val="00AE09EE"/>
    <w:rsid w:val="00AE0C10"/>
    <w:rsid w:val="00AE1178"/>
    <w:rsid w:val="00AE15A2"/>
    <w:rsid w:val="00AE1E8F"/>
    <w:rsid w:val="00AE289B"/>
    <w:rsid w:val="00AE2C72"/>
    <w:rsid w:val="00AE5C3E"/>
    <w:rsid w:val="00AE63CA"/>
    <w:rsid w:val="00AE6967"/>
    <w:rsid w:val="00AF02F7"/>
    <w:rsid w:val="00AF23E9"/>
    <w:rsid w:val="00AF42AE"/>
    <w:rsid w:val="00AF5045"/>
    <w:rsid w:val="00AF52E1"/>
    <w:rsid w:val="00AF75AF"/>
    <w:rsid w:val="00AF7ECF"/>
    <w:rsid w:val="00B00ABB"/>
    <w:rsid w:val="00B00D67"/>
    <w:rsid w:val="00B01E3C"/>
    <w:rsid w:val="00B0265C"/>
    <w:rsid w:val="00B02BAF"/>
    <w:rsid w:val="00B02CE6"/>
    <w:rsid w:val="00B03578"/>
    <w:rsid w:val="00B05DE5"/>
    <w:rsid w:val="00B06A8E"/>
    <w:rsid w:val="00B06C79"/>
    <w:rsid w:val="00B074D3"/>
    <w:rsid w:val="00B1007D"/>
    <w:rsid w:val="00B10F04"/>
    <w:rsid w:val="00B11DD0"/>
    <w:rsid w:val="00B12975"/>
    <w:rsid w:val="00B13A1E"/>
    <w:rsid w:val="00B13EC1"/>
    <w:rsid w:val="00B15231"/>
    <w:rsid w:val="00B15DD6"/>
    <w:rsid w:val="00B162F1"/>
    <w:rsid w:val="00B16855"/>
    <w:rsid w:val="00B1746C"/>
    <w:rsid w:val="00B179FC"/>
    <w:rsid w:val="00B17B27"/>
    <w:rsid w:val="00B2054A"/>
    <w:rsid w:val="00B206E2"/>
    <w:rsid w:val="00B23A42"/>
    <w:rsid w:val="00B23C34"/>
    <w:rsid w:val="00B24DA8"/>
    <w:rsid w:val="00B30830"/>
    <w:rsid w:val="00B31424"/>
    <w:rsid w:val="00B339BC"/>
    <w:rsid w:val="00B35E74"/>
    <w:rsid w:val="00B375A8"/>
    <w:rsid w:val="00B37E9B"/>
    <w:rsid w:val="00B404E1"/>
    <w:rsid w:val="00B4055D"/>
    <w:rsid w:val="00B40F51"/>
    <w:rsid w:val="00B432A8"/>
    <w:rsid w:val="00B4523F"/>
    <w:rsid w:val="00B47758"/>
    <w:rsid w:val="00B50362"/>
    <w:rsid w:val="00B522B1"/>
    <w:rsid w:val="00B52BFB"/>
    <w:rsid w:val="00B533DA"/>
    <w:rsid w:val="00B536B4"/>
    <w:rsid w:val="00B53A50"/>
    <w:rsid w:val="00B55B1A"/>
    <w:rsid w:val="00B55B2D"/>
    <w:rsid w:val="00B55C30"/>
    <w:rsid w:val="00B5636E"/>
    <w:rsid w:val="00B565E6"/>
    <w:rsid w:val="00B56E18"/>
    <w:rsid w:val="00B603A3"/>
    <w:rsid w:val="00B609A2"/>
    <w:rsid w:val="00B6166F"/>
    <w:rsid w:val="00B62714"/>
    <w:rsid w:val="00B62989"/>
    <w:rsid w:val="00B63252"/>
    <w:rsid w:val="00B64E7F"/>
    <w:rsid w:val="00B64F80"/>
    <w:rsid w:val="00B654C6"/>
    <w:rsid w:val="00B663A3"/>
    <w:rsid w:val="00B669AF"/>
    <w:rsid w:val="00B66C1D"/>
    <w:rsid w:val="00B70A57"/>
    <w:rsid w:val="00B70B33"/>
    <w:rsid w:val="00B70BB1"/>
    <w:rsid w:val="00B70BC3"/>
    <w:rsid w:val="00B710FA"/>
    <w:rsid w:val="00B7341E"/>
    <w:rsid w:val="00B74B26"/>
    <w:rsid w:val="00B75E24"/>
    <w:rsid w:val="00B7734B"/>
    <w:rsid w:val="00B804E1"/>
    <w:rsid w:val="00B8060C"/>
    <w:rsid w:val="00B80A97"/>
    <w:rsid w:val="00B83198"/>
    <w:rsid w:val="00B839E4"/>
    <w:rsid w:val="00B840B9"/>
    <w:rsid w:val="00B84223"/>
    <w:rsid w:val="00B845AE"/>
    <w:rsid w:val="00B85E46"/>
    <w:rsid w:val="00B87501"/>
    <w:rsid w:val="00B9072E"/>
    <w:rsid w:val="00B90FD7"/>
    <w:rsid w:val="00B92DE8"/>
    <w:rsid w:val="00B94607"/>
    <w:rsid w:val="00B94A9D"/>
    <w:rsid w:val="00B94AB9"/>
    <w:rsid w:val="00B94DC8"/>
    <w:rsid w:val="00B94EE2"/>
    <w:rsid w:val="00B96167"/>
    <w:rsid w:val="00BA0767"/>
    <w:rsid w:val="00BA0EDC"/>
    <w:rsid w:val="00BA2A6F"/>
    <w:rsid w:val="00BA2AB2"/>
    <w:rsid w:val="00BA2AC9"/>
    <w:rsid w:val="00BA40ED"/>
    <w:rsid w:val="00BA5639"/>
    <w:rsid w:val="00BA5BF3"/>
    <w:rsid w:val="00BA5C0F"/>
    <w:rsid w:val="00BA6829"/>
    <w:rsid w:val="00BA72B5"/>
    <w:rsid w:val="00BB02E9"/>
    <w:rsid w:val="00BB08DC"/>
    <w:rsid w:val="00BB143D"/>
    <w:rsid w:val="00BB17E2"/>
    <w:rsid w:val="00BB1CA9"/>
    <w:rsid w:val="00BB1E26"/>
    <w:rsid w:val="00BB2729"/>
    <w:rsid w:val="00BB38D6"/>
    <w:rsid w:val="00BB3C75"/>
    <w:rsid w:val="00BB3EE5"/>
    <w:rsid w:val="00BB4131"/>
    <w:rsid w:val="00BB4F37"/>
    <w:rsid w:val="00BB578F"/>
    <w:rsid w:val="00BB5EF8"/>
    <w:rsid w:val="00BB757C"/>
    <w:rsid w:val="00BB7CBD"/>
    <w:rsid w:val="00BC25DE"/>
    <w:rsid w:val="00BC4228"/>
    <w:rsid w:val="00BC646C"/>
    <w:rsid w:val="00BD28B8"/>
    <w:rsid w:val="00BD2CE3"/>
    <w:rsid w:val="00BD34CC"/>
    <w:rsid w:val="00BD35BB"/>
    <w:rsid w:val="00BD3DF1"/>
    <w:rsid w:val="00BD4DBE"/>
    <w:rsid w:val="00BD5238"/>
    <w:rsid w:val="00BD6B4B"/>
    <w:rsid w:val="00BD6C54"/>
    <w:rsid w:val="00BD7852"/>
    <w:rsid w:val="00BE00D4"/>
    <w:rsid w:val="00BE0E61"/>
    <w:rsid w:val="00BE1E08"/>
    <w:rsid w:val="00BE1F11"/>
    <w:rsid w:val="00BE3C7E"/>
    <w:rsid w:val="00BE4C2D"/>
    <w:rsid w:val="00BE60AA"/>
    <w:rsid w:val="00BE6401"/>
    <w:rsid w:val="00BF0098"/>
    <w:rsid w:val="00BF0B1D"/>
    <w:rsid w:val="00BF139A"/>
    <w:rsid w:val="00BF3889"/>
    <w:rsid w:val="00BF5328"/>
    <w:rsid w:val="00BF61D9"/>
    <w:rsid w:val="00BF6702"/>
    <w:rsid w:val="00BF6DFD"/>
    <w:rsid w:val="00BF7F2D"/>
    <w:rsid w:val="00C03722"/>
    <w:rsid w:val="00C03865"/>
    <w:rsid w:val="00C038A3"/>
    <w:rsid w:val="00C03CD1"/>
    <w:rsid w:val="00C04985"/>
    <w:rsid w:val="00C05858"/>
    <w:rsid w:val="00C06ABC"/>
    <w:rsid w:val="00C073A2"/>
    <w:rsid w:val="00C07731"/>
    <w:rsid w:val="00C07C12"/>
    <w:rsid w:val="00C1033B"/>
    <w:rsid w:val="00C10E44"/>
    <w:rsid w:val="00C112CF"/>
    <w:rsid w:val="00C1130F"/>
    <w:rsid w:val="00C12F83"/>
    <w:rsid w:val="00C14600"/>
    <w:rsid w:val="00C1464B"/>
    <w:rsid w:val="00C15568"/>
    <w:rsid w:val="00C1574F"/>
    <w:rsid w:val="00C15F32"/>
    <w:rsid w:val="00C16DC3"/>
    <w:rsid w:val="00C17908"/>
    <w:rsid w:val="00C20261"/>
    <w:rsid w:val="00C20AFE"/>
    <w:rsid w:val="00C2100A"/>
    <w:rsid w:val="00C212A4"/>
    <w:rsid w:val="00C21EA9"/>
    <w:rsid w:val="00C227EF"/>
    <w:rsid w:val="00C22BC2"/>
    <w:rsid w:val="00C22F20"/>
    <w:rsid w:val="00C2302D"/>
    <w:rsid w:val="00C23E35"/>
    <w:rsid w:val="00C245A7"/>
    <w:rsid w:val="00C24C41"/>
    <w:rsid w:val="00C24CE9"/>
    <w:rsid w:val="00C25259"/>
    <w:rsid w:val="00C259DD"/>
    <w:rsid w:val="00C259FD"/>
    <w:rsid w:val="00C26240"/>
    <w:rsid w:val="00C266C1"/>
    <w:rsid w:val="00C26B74"/>
    <w:rsid w:val="00C279B8"/>
    <w:rsid w:val="00C31EC7"/>
    <w:rsid w:val="00C328B8"/>
    <w:rsid w:val="00C32B36"/>
    <w:rsid w:val="00C33B7F"/>
    <w:rsid w:val="00C350A8"/>
    <w:rsid w:val="00C4052A"/>
    <w:rsid w:val="00C41FB4"/>
    <w:rsid w:val="00C44587"/>
    <w:rsid w:val="00C445F1"/>
    <w:rsid w:val="00C45803"/>
    <w:rsid w:val="00C465B1"/>
    <w:rsid w:val="00C46630"/>
    <w:rsid w:val="00C466F3"/>
    <w:rsid w:val="00C470A0"/>
    <w:rsid w:val="00C479C1"/>
    <w:rsid w:val="00C51010"/>
    <w:rsid w:val="00C52197"/>
    <w:rsid w:val="00C522AD"/>
    <w:rsid w:val="00C527AD"/>
    <w:rsid w:val="00C52F39"/>
    <w:rsid w:val="00C537F0"/>
    <w:rsid w:val="00C53A87"/>
    <w:rsid w:val="00C55FF7"/>
    <w:rsid w:val="00C561B9"/>
    <w:rsid w:val="00C5706A"/>
    <w:rsid w:val="00C57171"/>
    <w:rsid w:val="00C60B10"/>
    <w:rsid w:val="00C60BAD"/>
    <w:rsid w:val="00C62E03"/>
    <w:rsid w:val="00C63562"/>
    <w:rsid w:val="00C63797"/>
    <w:rsid w:val="00C63F90"/>
    <w:rsid w:val="00C64380"/>
    <w:rsid w:val="00C65E63"/>
    <w:rsid w:val="00C67648"/>
    <w:rsid w:val="00C67797"/>
    <w:rsid w:val="00C7070D"/>
    <w:rsid w:val="00C71F3C"/>
    <w:rsid w:val="00C72B6C"/>
    <w:rsid w:val="00C73E74"/>
    <w:rsid w:val="00C748FE"/>
    <w:rsid w:val="00C76D0A"/>
    <w:rsid w:val="00C76F4D"/>
    <w:rsid w:val="00C774CC"/>
    <w:rsid w:val="00C80C15"/>
    <w:rsid w:val="00C82A2B"/>
    <w:rsid w:val="00C846A0"/>
    <w:rsid w:val="00C85BD7"/>
    <w:rsid w:val="00C85D30"/>
    <w:rsid w:val="00C86775"/>
    <w:rsid w:val="00C875CB"/>
    <w:rsid w:val="00C876BA"/>
    <w:rsid w:val="00C912C0"/>
    <w:rsid w:val="00C913BC"/>
    <w:rsid w:val="00C9155B"/>
    <w:rsid w:val="00C9176F"/>
    <w:rsid w:val="00C943F7"/>
    <w:rsid w:val="00C94C52"/>
    <w:rsid w:val="00C97C2B"/>
    <w:rsid w:val="00CA2FAE"/>
    <w:rsid w:val="00CA3241"/>
    <w:rsid w:val="00CA3390"/>
    <w:rsid w:val="00CA348F"/>
    <w:rsid w:val="00CA5433"/>
    <w:rsid w:val="00CA6F0D"/>
    <w:rsid w:val="00CA73EA"/>
    <w:rsid w:val="00CA76A0"/>
    <w:rsid w:val="00CA7F4D"/>
    <w:rsid w:val="00CB00AE"/>
    <w:rsid w:val="00CB16AF"/>
    <w:rsid w:val="00CB3A54"/>
    <w:rsid w:val="00CB56E7"/>
    <w:rsid w:val="00CB5FC8"/>
    <w:rsid w:val="00CB69B2"/>
    <w:rsid w:val="00CB6DD5"/>
    <w:rsid w:val="00CB7715"/>
    <w:rsid w:val="00CB7D8E"/>
    <w:rsid w:val="00CC0273"/>
    <w:rsid w:val="00CC069C"/>
    <w:rsid w:val="00CC0D22"/>
    <w:rsid w:val="00CC20F1"/>
    <w:rsid w:val="00CC308D"/>
    <w:rsid w:val="00CC3910"/>
    <w:rsid w:val="00CC4018"/>
    <w:rsid w:val="00CC4220"/>
    <w:rsid w:val="00CC463D"/>
    <w:rsid w:val="00CC5628"/>
    <w:rsid w:val="00CC6416"/>
    <w:rsid w:val="00CC7BC2"/>
    <w:rsid w:val="00CD1114"/>
    <w:rsid w:val="00CD1DCC"/>
    <w:rsid w:val="00CD206F"/>
    <w:rsid w:val="00CD2422"/>
    <w:rsid w:val="00CD2D86"/>
    <w:rsid w:val="00CD2F65"/>
    <w:rsid w:val="00CD3179"/>
    <w:rsid w:val="00CD3788"/>
    <w:rsid w:val="00CD52B2"/>
    <w:rsid w:val="00CD5F75"/>
    <w:rsid w:val="00CD6599"/>
    <w:rsid w:val="00CD6D67"/>
    <w:rsid w:val="00CD7061"/>
    <w:rsid w:val="00CD71B7"/>
    <w:rsid w:val="00CD73F6"/>
    <w:rsid w:val="00CD7F57"/>
    <w:rsid w:val="00CE04B9"/>
    <w:rsid w:val="00CE1119"/>
    <w:rsid w:val="00CE2088"/>
    <w:rsid w:val="00CE30D1"/>
    <w:rsid w:val="00CE45E2"/>
    <w:rsid w:val="00CE4BA2"/>
    <w:rsid w:val="00CE6E12"/>
    <w:rsid w:val="00CE6E80"/>
    <w:rsid w:val="00CE76D3"/>
    <w:rsid w:val="00CF1237"/>
    <w:rsid w:val="00CF161D"/>
    <w:rsid w:val="00CF167E"/>
    <w:rsid w:val="00CF1E9F"/>
    <w:rsid w:val="00CF232D"/>
    <w:rsid w:val="00CF2365"/>
    <w:rsid w:val="00CF2B3C"/>
    <w:rsid w:val="00CF41D2"/>
    <w:rsid w:val="00CF64A6"/>
    <w:rsid w:val="00D000FC"/>
    <w:rsid w:val="00D00266"/>
    <w:rsid w:val="00D00F7A"/>
    <w:rsid w:val="00D0269E"/>
    <w:rsid w:val="00D02984"/>
    <w:rsid w:val="00D02D79"/>
    <w:rsid w:val="00D03ACC"/>
    <w:rsid w:val="00D0480A"/>
    <w:rsid w:val="00D0571D"/>
    <w:rsid w:val="00D106AA"/>
    <w:rsid w:val="00D117E8"/>
    <w:rsid w:val="00D11BED"/>
    <w:rsid w:val="00D12A14"/>
    <w:rsid w:val="00D12D52"/>
    <w:rsid w:val="00D154C4"/>
    <w:rsid w:val="00D15B0C"/>
    <w:rsid w:val="00D17ED6"/>
    <w:rsid w:val="00D20310"/>
    <w:rsid w:val="00D211A6"/>
    <w:rsid w:val="00D21526"/>
    <w:rsid w:val="00D22BC8"/>
    <w:rsid w:val="00D234EA"/>
    <w:rsid w:val="00D238C3"/>
    <w:rsid w:val="00D26B01"/>
    <w:rsid w:val="00D300D3"/>
    <w:rsid w:val="00D30EE7"/>
    <w:rsid w:val="00D316E7"/>
    <w:rsid w:val="00D32745"/>
    <w:rsid w:val="00D332DA"/>
    <w:rsid w:val="00D33EF3"/>
    <w:rsid w:val="00D35057"/>
    <w:rsid w:val="00D35DC8"/>
    <w:rsid w:val="00D361C6"/>
    <w:rsid w:val="00D36D43"/>
    <w:rsid w:val="00D370AC"/>
    <w:rsid w:val="00D37923"/>
    <w:rsid w:val="00D40699"/>
    <w:rsid w:val="00D40DFF"/>
    <w:rsid w:val="00D41827"/>
    <w:rsid w:val="00D41E1F"/>
    <w:rsid w:val="00D42410"/>
    <w:rsid w:val="00D42EC6"/>
    <w:rsid w:val="00D44B98"/>
    <w:rsid w:val="00D453E7"/>
    <w:rsid w:val="00D45517"/>
    <w:rsid w:val="00D45BA5"/>
    <w:rsid w:val="00D50501"/>
    <w:rsid w:val="00D50BA7"/>
    <w:rsid w:val="00D51CE9"/>
    <w:rsid w:val="00D52AF0"/>
    <w:rsid w:val="00D52E92"/>
    <w:rsid w:val="00D53AD2"/>
    <w:rsid w:val="00D53CD9"/>
    <w:rsid w:val="00D55BFE"/>
    <w:rsid w:val="00D5794C"/>
    <w:rsid w:val="00D57D54"/>
    <w:rsid w:val="00D6027B"/>
    <w:rsid w:val="00D60307"/>
    <w:rsid w:val="00D60CE8"/>
    <w:rsid w:val="00D61758"/>
    <w:rsid w:val="00D61B98"/>
    <w:rsid w:val="00D61BF8"/>
    <w:rsid w:val="00D6200C"/>
    <w:rsid w:val="00D64237"/>
    <w:rsid w:val="00D65117"/>
    <w:rsid w:val="00D6605B"/>
    <w:rsid w:val="00D664ED"/>
    <w:rsid w:val="00D673BD"/>
    <w:rsid w:val="00D67887"/>
    <w:rsid w:val="00D67F2D"/>
    <w:rsid w:val="00D727EF"/>
    <w:rsid w:val="00D72D10"/>
    <w:rsid w:val="00D72D39"/>
    <w:rsid w:val="00D73F73"/>
    <w:rsid w:val="00D74646"/>
    <w:rsid w:val="00D7507D"/>
    <w:rsid w:val="00D756C1"/>
    <w:rsid w:val="00D76DDD"/>
    <w:rsid w:val="00D77878"/>
    <w:rsid w:val="00D803C1"/>
    <w:rsid w:val="00D82333"/>
    <w:rsid w:val="00D82B4A"/>
    <w:rsid w:val="00D835DE"/>
    <w:rsid w:val="00D83C5F"/>
    <w:rsid w:val="00D84166"/>
    <w:rsid w:val="00D8481E"/>
    <w:rsid w:val="00D855A6"/>
    <w:rsid w:val="00D85B70"/>
    <w:rsid w:val="00D86A1B"/>
    <w:rsid w:val="00D91380"/>
    <w:rsid w:val="00D9157E"/>
    <w:rsid w:val="00D9296D"/>
    <w:rsid w:val="00D946D5"/>
    <w:rsid w:val="00D94F9B"/>
    <w:rsid w:val="00D95568"/>
    <w:rsid w:val="00D95FD3"/>
    <w:rsid w:val="00D965C3"/>
    <w:rsid w:val="00D969F6"/>
    <w:rsid w:val="00D96F45"/>
    <w:rsid w:val="00D97132"/>
    <w:rsid w:val="00D975E5"/>
    <w:rsid w:val="00DA0D8C"/>
    <w:rsid w:val="00DA1D7C"/>
    <w:rsid w:val="00DA491A"/>
    <w:rsid w:val="00DA598F"/>
    <w:rsid w:val="00DA647C"/>
    <w:rsid w:val="00DA7615"/>
    <w:rsid w:val="00DA78DC"/>
    <w:rsid w:val="00DB1B95"/>
    <w:rsid w:val="00DB3162"/>
    <w:rsid w:val="00DB5A40"/>
    <w:rsid w:val="00DB6443"/>
    <w:rsid w:val="00DB6E7B"/>
    <w:rsid w:val="00DB7D8A"/>
    <w:rsid w:val="00DC080B"/>
    <w:rsid w:val="00DC1671"/>
    <w:rsid w:val="00DC2D2C"/>
    <w:rsid w:val="00DC6053"/>
    <w:rsid w:val="00DC6E17"/>
    <w:rsid w:val="00DC7C2A"/>
    <w:rsid w:val="00DD0BEF"/>
    <w:rsid w:val="00DD15B3"/>
    <w:rsid w:val="00DD3087"/>
    <w:rsid w:val="00DD34D3"/>
    <w:rsid w:val="00DD51A4"/>
    <w:rsid w:val="00DD5C59"/>
    <w:rsid w:val="00DD6CB0"/>
    <w:rsid w:val="00DD739A"/>
    <w:rsid w:val="00DE10F5"/>
    <w:rsid w:val="00DE12C5"/>
    <w:rsid w:val="00DE3C99"/>
    <w:rsid w:val="00DE3F90"/>
    <w:rsid w:val="00DE72E4"/>
    <w:rsid w:val="00DE745D"/>
    <w:rsid w:val="00DF1623"/>
    <w:rsid w:val="00DF1870"/>
    <w:rsid w:val="00DF1C6B"/>
    <w:rsid w:val="00DF21AC"/>
    <w:rsid w:val="00DF24D1"/>
    <w:rsid w:val="00DF2ABF"/>
    <w:rsid w:val="00DF3985"/>
    <w:rsid w:val="00DF487A"/>
    <w:rsid w:val="00DF494E"/>
    <w:rsid w:val="00DF49BC"/>
    <w:rsid w:val="00DF4D83"/>
    <w:rsid w:val="00DF4FA5"/>
    <w:rsid w:val="00DF503B"/>
    <w:rsid w:val="00DF565C"/>
    <w:rsid w:val="00DF5B2D"/>
    <w:rsid w:val="00DF6F6D"/>
    <w:rsid w:val="00DF7263"/>
    <w:rsid w:val="00DF7811"/>
    <w:rsid w:val="00DF7A1F"/>
    <w:rsid w:val="00E00423"/>
    <w:rsid w:val="00E005C0"/>
    <w:rsid w:val="00E00DD5"/>
    <w:rsid w:val="00E00F08"/>
    <w:rsid w:val="00E00FD7"/>
    <w:rsid w:val="00E01468"/>
    <w:rsid w:val="00E01AD6"/>
    <w:rsid w:val="00E0339C"/>
    <w:rsid w:val="00E04201"/>
    <w:rsid w:val="00E0507C"/>
    <w:rsid w:val="00E06705"/>
    <w:rsid w:val="00E100BD"/>
    <w:rsid w:val="00E11184"/>
    <w:rsid w:val="00E12070"/>
    <w:rsid w:val="00E122CA"/>
    <w:rsid w:val="00E13604"/>
    <w:rsid w:val="00E13AA0"/>
    <w:rsid w:val="00E14020"/>
    <w:rsid w:val="00E14512"/>
    <w:rsid w:val="00E15DF0"/>
    <w:rsid w:val="00E171E6"/>
    <w:rsid w:val="00E1740C"/>
    <w:rsid w:val="00E17F9E"/>
    <w:rsid w:val="00E201FB"/>
    <w:rsid w:val="00E205BD"/>
    <w:rsid w:val="00E20740"/>
    <w:rsid w:val="00E207FC"/>
    <w:rsid w:val="00E22F52"/>
    <w:rsid w:val="00E22FED"/>
    <w:rsid w:val="00E23AA2"/>
    <w:rsid w:val="00E2468E"/>
    <w:rsid w:val="00E2583C"/>
    <w:rsid w:val="00E25D72"/>
    <w:rsid w:val="00E271D4"/>
    <w:rsid w:val="00E27704"/>
    <w:rsid w:val="00E313D3"/>
    <w:rsid w:val="00E317AF"/>
    <w:rsid w:val="00E31803"/>
    <w:rsid w:val="00E31F65"/>
    <w:rsid w:val="00E32D17"/>
    <w:rsid w:val="00E32D4C"/>
    <w:rsid w:val="00E32DC2"/>
    <w:rsid w:val="00E34130"/>
    <w:rsid w:val="00E353D2"/>
    <w:rsid w:val="00E37772"/>
    <w:rsid w:val="00E379A1"/>
    <w:rsid w:val="00E40312"/>
    <w:rsid w:val="00E40E25"/>
    <w:rsid w:val="00E42906"/>
    <w:rsid w:val="00E43718"/>
    <w:rsid w:val="00E44101"/>
    <w:rsid w:val="00E45CD2"/>
    <w:rsid w:val="00E45F03"/>
    <w:rsid w:val="00E47EC2"/>
    <w:rsid w:val="00E507C0"/>
    <w:rsid w:val="00E5081D"/>
    <w:rsid w:val="00E51C40"/>
    <w:rsid w:val="00E5203C"/>
    <w:rsid w:val="00E53D6A"/>
    <w:rsid w:val="00E544DD"/>
    <w:rsid w:val="00E552A6"/>
    <w:rsid w:val="00E56F09"/>
    <w:rsid w:val="00E57C68"/>
    <w:rsid w:val="00E57FCE"/>
    <w:rsid w:val="00E629FC"/>
    <w:rsid w:val="00E62BAD"/>
    <w:rsid w:val="00E64487"/>
    <w:rsid w:val="00E647FA"/>
    <w:rsid w:val="00E66105"/>
    <w:rsid w:val="00E66B47"/>
    <w:rsid w:val="00E7064C"/>
    <w:rsid w:val="00E710B4"/>
    <w:rsid w:val="00E71561"/>
    <w:rsid w:val="00E72305"/>
    <w:rsid w:val="00E7298B"/>
    <w:rsid w:val="00E7373D"/>
    <w:rsid w:val="00E73DF9"/>
    <w:rsid w:val="00E747E6"/>
    <w:rsid w:val="00E7553A"/>
    <w:rsid w:val="00E757E5"/>
    <w:rsid w:val="00E75978"/>
    <w:rsid w:val="00E768F8"/>
    <w:rsid w:val="00E76FFD"/>
    <w:rsid w:val="00E77634"/>
    <w:rsid w:val="00E823C8"/>
    <w:rsid w:val="00E82B21"/>
    <w:rsid w:val="00E831D5"/>
    <w:rsid w:val="00E84B75"/>
    <w:rsid w:val="00E85542"/>
    <w:rsid w:val="00E8713B"/>
    <w:rsid w:val="00E9044E"/>
    <w:rsid w:val="00E918B6"/>
    <w:rsid w:val="00E92003"/>
    <w:rsid w:val="00E92CCD"/>
    <w:rsid w:val="00E937CA"/>
    <w:rsid w:val="00E93BCC"/>
    <w:rsid w:val="00E95E64"/>
    <w:rsid w:val="00E96193"/>
    <w:rsid w:val="00E96839"/>
    <w:rsid w:val="00E96D69"/>
    <w:rsid w:val="00EA090F"/>
    <w:rsid w:val="00EA10D6"/>
    <w:rsid w:val="00EA2211"/>
    <w:rsid w:val="00EA28EC"/>
    <w:rsid w:val="00EA403C"/>
    <w:rsid w:val="00EA4C60"/>
    <w:rsid w:val="00EA66F7"/>
    <w:rsid w:val="00EA7F81"/>
    <w:rsid w:val="00EB0DAB"/>
    <w:rsid w:val="00EB16E5"/>
    <w:rsid w:val="00EB1E16"/>
    <w:rsid w:val="00EB2575"/>
    <w:rsid w:val="00EB3654"/>
    <w:rsid w:val="00EB4E4F"/>
    <w:rsid w:val="00EB58CD"/>
    <w:rsid w:val="00EB61FC"/>
    <w:rsid w:val="00EB6C0F"/>
    <w:rsid w:val="00EB6D76"/>
    <w:rsid w:val="00EB7179"/>
    <w:rsid w:val="00EB7707"/>
    <w:rsid w:val="00EC0F26"/>
    <w:rsid w:val="00EC1630"/>
    <w:rsid w:val="00EC2E69"/>
    <w:rsid w:val="00EC32B1"/>
    <w:rsid w:val="00EC50FD"/>
    <w:rsid w:val="00EC56EC"/>
    <w:rsid w:val="00EC6BDB"/>
    <w:rsid w:val="00EC6DCE"/>
    <w:rsid w:val="00EC6E5D"/>
    <w:rsid w:val="00EC7D04"/>
    <w:rsid w:val="00ED1FD8"/>
    <w:rsid w:val="00ED2009"/>
    <w:rsid w:val="00ED2161"/>
    <w:rsid w:val="00ED2B19"/>
    <w:rsid w:val="00ED4FE4"/>
    <w:rsid w:val="00ED6770"/>
    <w:rsid w:val="00ED6CBE"/>
    <w:rsid w:val="00ED796D"/>
    <w:rsid w:val="00EE28C4"/>
    <w:rsid w:val="00EE29AB"/>
    <w:rsid w:val="00EE35D4"/>
    <w:rsid w:val="00EE37A8"/>
    <w:rsid w:val="00EE3E55"/>
    <w:rsid w:val="00EE3F53"/>
    <w:rsid w:val="00EE495A"/>
    <w:rsid w:val="00EE6116"/>
    <w:rsid w:val="00EE6301"/>
    <w:rsid w:val="00EE685B"/>
    <w:rsid w:val="00EE6A5E"/>
    <w:rsid w:val="00EF2B5D"/>
    <w:rsid w:val="00EF35C6"/>
    <w:rsid w:val="00EF3934"/>
    <w:rsid w:val="00EF4333"/>
    <w:rsid w:val="00EF436B"/>
    <w:rsid w:val="00EF46B5"/>
    <w:rsid w:val="00EF4FCF"/>
    <w:rsid w:val="00EF515E"/>
    <w:rsid w:val="00EF62BD"/>
    <w:rsid w:val="00EF65A6"/>
    <w:rsid w:val="00EF6BA8"/>
    <w:rsid w:val="00EF76A7"/>
    <w:rsid w:val="00EF79D4"/>
    <w:rsid w:val="00F00BC9"/>
    <w:rsid w:val="00F01BA3"/>
    <w:rsid w:val="00F026A7"/>
    <w:rsid w:val="00F029EA"/>
    <w:rsid w:val="00F041DF"/>
    <w:rsid w:val="00F04396"/>
    <w:rsid w:val="00F04481"/>
    <w:rsid w:val="00F05FEF"/>
    <w:rsid w:val="00F0676A"/>
    <w:rsid w:val="00F06FAD"/>
    <w:rsid w:val="00F10E4B"/>
    <w:rsid w:val="00F1128C"/>
    <w:rsid w:val="00F11495"/>
    <w:rsid w:val="00F119A0"/>
    <w:rsid w:val="00F13CE0"/>
    <w:rsid w:val="00F143D3"/>
    <w:rsid w:val="00F14661"/>
    <w:rsid w:val="00F16F0A"/>
    <w:rsid w:val="00F170FB"/>
    <w:rsid w:val="00F17D9C"/>
    <w:rsid w:val="00F20664"/>
    <w:rsid w:val="00F21A38"/>
    <w:rsid w:val="00F21A66"/>
    <w:rsid w:val="00F21A8F"/>
    <w:rsid w:val="00F2325E"/>
    <w:rsid w:val="00F23823"/>
    <w:rsid w:val="00F23BFF"/>
    <w:rsid w:val="00F25259"/>
    <w:rsid w:val="00F26A2C"/>
    <w:rsid w:val="00F26C58"/>
    <w:rsid w:val="00F26D77"/>
    <w:rsid w:val="00F31134"/>
    <w:rsid w:val="00F31298"/>
    <w:rsid w:val="00F31ACD"/>
    <w:rsid w:val="00F31DE5"/>
    <w:rsid w:val="00F33254"/>
    <w:rsid w:val="00F336C8"/>
    <w:rsid w:val="00F336D3"/>
    <w:rsid w:val="00F33E1D"/>
    <w:rsid w:val="00F35198"/>
    <w:rsid w:val="00F40DC5"/>
    <w:rsid w:val="00F43A2B"/>
    <w:rsid w:val="00F441B4"/>
    <w:rsid w:val="00F44A3D"/>
    <w:rsid w:val="00F46B10"/>
    <w:rsid w:val="00F46EC9"/>
    <w:rsid w:val="00F473C5"/>
    <w:rsid w:val="00F4753E"/>
    <w:rsid w:val="00F50234"/>
    <w:rsid w:val="00F506AE"/>
    <w:rsid w:val="00F507B2"/>
    <w:rsid w:val="00F51939"/>
    <w:rsid w:val="00F522A9"/>
    <w:rsid w:val="00F53B60"/>
    <w:rsid w:val="00F54707"/>
    <w:rsid w:val="00F552C4"/>
    <w:rsid w:val="00F56E5A"/>
    <w:rsid w:val="00F60DD3"/>
    <w:rsid w:val="00F61465"/>
    <w:rsid w:val="00F61C8E"/>
    <w:rsid w:val="00F625CE"/>
    <w:rsid w:val="00F6272C"/>
    <w:rsid w:val="00F6321C"/>
    <w:rsid w:val="00F632C9"/>
    <w:rsid w:val="00F63A6C"/>
    <w:rsid w:val="00F6427F"/>
    <w:rsid w:val="00F652C6"/>
    <w:rsid w:val="00F66648"/>
    <w:rsid w:val="00F70CE5"/>
    <w:rsid w:val="00F715AD"/>
    <w:rsid w:val="00F716A3"/>
    <w:rsid w:val="00F72159"/>
    <w:rsid w:val="00F72B2B"/>
    <w:rsid w:val="00F738E8"/>
    <w:rsid w:val="00F73B17"/>
    <w:rsid w:val="00F80EB8"/>
    <w:rsid w:val="00F824B8"/>
    <w:rsid w:val="00F830AB"/>
    <w:rsid w:val="00F836D7"/>
    <w:rsid w:val="00F83745"/>
    <w:rsid w:val="00F83C34"/>
    <w:rsid w:val="00F8491D"/>
    <w:rsid w:val="00F85966"/>
    <w:rsid w:val="00F8633C"/>
    <w:rsid w:val="00F864DF"/>
    <w:rsid w:val="00F871D6"/>
    <w:rsid w:val="00F87596"/>
    <w:rsid w:val="00F93DCE"/>
    <w:rsid w:val="00F94D49"/>
    <w:rsid w:val="00F95A09"/>
    <w:rsid w:val="00F965B6"/>
    <w:rsid w:val="00F97794"/>
    <w:rsid w:val="00FA036E"/>
    <w:rsid w:val="00FA0C36"/>
    <w:rsid w:val="00FA3F4B"/>
    <w:rsid w:val="00FA4064"/>
    <w:rsid w:val="00FA6EC6"/>
    <w:rsid w:val="00FB2367"/>
    <w:rsid w:val="00FB253D"/>
    <w:rsid w:val="00FB2838"/>
    <w:rsid w:val="00FB28B3"/>
    <w:rsid w:val="00FB2BE9"/>
    <w:rsid w:val="00FB308E"/>
    <w:rsid w:val="00FB3501"/>
    <w:rsid w:val="00FB383B"/>
    <w:rsid w:val="00FB4C3C"/>
    <w:rsid w:val="00FB5792"/>
    <w:rsid w:val="00FB6C3D"/>
    <w:rsid w:val="00FB7560"/>
    <w:rsid w:val="00FC062A"/>
    <w:rsid w:val="00FC1F24"/>
    <w:rsid w:val="00FC22D6"/>
    <w:rsid w:val="00FC4828"/>
    <w:rsid w:val="00FC5E26"/>
    <w:rsid w:val="00FC6E04"/>
    <w:rsid w:val="00FC7B1E"/>
    <w:rsid w:val="00FD03DE"/>
    <w:rsid w:val="00FD06FA"/>
    <w:rsid w:val="00FD0B8C"/>
    <w:rsid w:val="00FD2112"/>
    <w:rsid w:val="00FD2B2B"/>
    <w:rsid w:val="00FD2F83"/>
    <w:rsid w:val="00FD33A5"/>
    <w:rsid w:val="00FD3E40"/>
    <w:rsid w:val="00FD3EA5"/>
    <w:rsid w:val="00FD433B"/>
    <w:rsid w:val="00FD4409"/>
    <w:rsid w:val="00FD4FF2"/>
    <w:rsid w:val="00FD56E1"/>
    <w:rsid w:val="00FD6234"/>
    <w:rsid w:val="00FD658A"/>
    <w:rsid w:val="00FD6CD6"/>
    <w:rsid w:val="00FD7011"/>
    <w:rsid w:val="00FE0805"/>
    <w:rsid w:val="00FE0C59"/>
    <w:rsid w:val="00FE1ED1"/>
    <w:rsid w:val="00FE38A5"/>
    <w:rsid w:val="00FE40FE"/>
    <w:rsid w:val="00FE55BE"/>
    <w:rsid w:val="00FE7845"/>
    <w:rsid w:val="00FF013D"/>
    <w:rsid w:val="00FF047B"/>
    <w:rsid w:val="00FF05BB"/>
    <w:rsid w:val="00FF0AF1"/>
    <w:rsid w:val="00FF1C98"/>
    <w:rsid w:val="00FF297D"/>
    <w:rsid w:val="00FF2DD7"/>
    <w:rsid w:val="00FF3D75"/>
    <w:rsid w:val="00FF3E91"/>
    <w:rsid w:val="00FF5161"/>
    <w:rsid w:val="00FF52EB"/>
    <w:rsid w:val="00FF6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black,#002060,#009,#9cf,#abd5ff,#33c,#d3d3f1,#d5d5ff"/>
    </o:shapedefaults>
    <o:shapelayout v:ext="edit">
      <o:idmap v:ext="edit" data="1"/>
    </o:shapelayout>
  </w:shapeDefaults>
  <w:decimalSymbol w:val="."/>
  <w:listSeparator w:val=","/>
  <w14:docId w14:val="43E1F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uiPriority="22" w:qFormat="1"/>
    <w:lsdException w:name="Emphasis" w:semiHidden="0" w:uiPriority="2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A44B9D"/>
    <w:rPr>
      <w:sz w:val="24"/>
      <w:szCs w:val="24"/>
    </w:rPr>
  </w:style>
  <w:style w:type="paragraph" w:styleId="Heading1">
    <w:name w:val="heading 1"/>
    <w:basedOn w:val="Normal"/>
    <w:next w:val="Normal"/>
    <w:link w:val="Heading1Char"/>
    <w:qFormat/>
    <w:rsid w:val="002045A6"/>
    <w:pPr>
      <w:keepNext/>
      <w:jc w:val="center"/>
      <w:outlineLvl w:val="0"/>
    </w:pPr>
    <w:rPr>
      <w:rFonts w:ascii="Arrus BT Roman" w:hAnsi="Arrus BT Roman"/>
      <w:i/>
      <w:szCs w:val="20"/>
    </w:rPr>
  </w:style>
  <w:style w:type="paragraph" w:styleId="Heading2">
    <w:name w:val="heading 2"/>
    <w:basedOn w:val="Normal"/>
    <w:link w:val="Heading2Char"/>
    <w:qFormat/>
    <w:rsid w:val="00797F18"/>
    <w:pPr>
      <w:spacing w:before="100" w:beforeAutospacing="1" w:after="100" w:afterAutospacing="1"/>
      <w:outlineLvl w:val="1"/>
    </w:pPr>
    <w:rPr>
      <w:b/>
      <w:bCs/>
      <w:sz w:val="36"/>
      <w:szCs w:val="36"/>
    </w:rPr>
  </w:style>
  <w:style w:type="paragraph" w:styleId="Heading3">
    <w:name w:val="heading 3"/>
    <w:basedOn w:val="Normal"/>
    <w:next w:val="Normal"/>
    <w:link w:val="Heading3Char"/>
    <w:qFormat/>
    <w:rsid w:val="002045A6"/>
    <w:pPr>
      <w:keepNext/>
      <w:jc w:val="center"/>
      <w:outlineLvl w:val="2"/>
    </w:pPr>
    <w:rPr>
      <w:b/>
      <w:sz w:val="20"/>
      <w:szCs w:val="20"/>
    </w:rPr>
  </w:style>
  <w:style w:type="paragraph" w:styleId="Heading4">
    <w:name w:val="heading 4"/>
    <w:basedOn w:val="Normal"/>
    <w:next w:val="Normal"/>
    <w:link w:val="Heading4Char"/>
    <w:qFormat/>
    <w:rsid w:val="002045A6"/>
    <w:pPr>
      <w:keepNext/>
      <w:jc w:val="center"/>
      <w:outlineLvl w:val="3"/>
    </w:pPr>
    <w:rPr>
      <w:rFonts w:ascii="Arrus BT Roman" w:hAnsi="Arrus BT Roman"/>
      <w:i/>
      <w:sz w:val="20"/>
      <w:szCs w:val="20"/>
    </w:rPr>
  </w:style>
  <w:style w:type="paragraph" w:styleId="Heading6">
    <w:name w:val="heading 6"/>
    <w:basedOn w:val="Normal"/>
    <w:next w:val="Normal"/>
    <w:link w:val="Heading6Char"/>
    <w:semiHidden/>
    <w:unhideWhenUsed/>
    <w:qFormat/>
    <w:rsid w:val="00D02D7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A1701"/>
    <w:pPr>
      <w:tabs>
        <w:tab w:val="center" w:pos="4320"/>
        <w:tab w:val="right" w:pos="8640"/>
      </w:tabs>
    </w:pPr>
  </w:style>
  <w:style w:type="paragraph" w:styleId="Footer">
    <w:name w:val="footer"/>
    <w:basedOn w:val="Normal"/>
    <w:link w:val="FooterChar"/>
    <w:uiPriority w:val="99"/>
    <w:rsid w:val="000A1701"/>
    <w:pPr>
      <w:tabs>
        <w:tab w:val="center" w:pos="4320"/>
        <w:tab w:val="right" w:pos="8640"/>
      </w:tabs>
    </w:pPr>
  </w:style>
  <w:style w:type="table" w:styleId="TableGrid">
    <w:name w:val="Table Grid"/>
    <w:basedOn w:val="TableNormal"/>
    <w:rsid w:val="002A22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257D57"/>
    <w:pPr>
      <w:tabs>
        <w:tab w:val="right" w:pos="5040"/>
      </w:tabs>
      <w:overflowPunct w:val="0"/>
      <w:autoSpaceDE w:val="0"/>
      <w:autoSpaceDN w:val="0"/>
      <w:adjustRightInd w:val="0"/>
      <w:spacing w:after="120"/>
      <w:ind w:left="360"/>
      <w:textAlignment w:val="baseline"/>
    </w:pPr>
    <w:rPr>
      <w:sz w:val="26"/>
      <w:szCs w:val="20"/>
    </w:rPr>
  </w:style>
  <w:style w:type="paragraph" w:styleId="Caption">
    <w:name w:val="caption"/>
    <w:basedOn w:val="Normal"/>
    <w:next w:val="Normal"/>
    <w:qFormat/>
    <w:rsid w:val="008A2708"/>
    <w:rPr>
      <w:b/>
      <w:bCs/>
      <w:sz w:val="20"/>
      <w:szCs w:val="20"/>
    </w:rPr>
  </w:style>
  <w:style w:type="character" w:styleId="PageNumber">
    <w:name w:val="page number"/>
    <w:basedOn w:val="DefaultParagraphFont"/>
    <w:rsid w:val="00FD3E40"/>
  </w:style>
  <w:style w:type="paragraph" w:styleId="FootnoteText">
    <w:name w:val="footnote text"/>
    <w:basedOn w:val="Normal"/>
    <w:link w:val="FootnoteTextChar"/>
    <w:rsid w:val="00AA2643"/>
    <w:rPr>
      <w:sz w:val="20"/>
      <w:szCs w:val="20"/>
    </w:rPr>
  </w:style>
  <w:style w:type="character" w:styleId="FootnoteReference">
    <w:name w:val="footnote reference"/>
    <w:rsid w:val="00AA2643"/>
    <w:rPr>
      <w:vertAlign w:val="superscript"/>
    </w:rPr>
  </w:style>
  <w:style w:type="paragraph" w:styleId="DocumentMap">
    <w:name w:val="Document Map"/>
    <w:basedOn w:val="Normal"/>
    <w:semiHidden/>
    <w:rsid w:val="004841C8"/>
    <w:pPr>
      <w:shd w:val="clear" w:color="auto" w:fill="000080"/>
    </w:pPr>
    <w:rPr>
      <w:rFonts w:ascii="Tahoma" w:hAnsi="Tahoma" w:cs="Tahoma"/>
      <w:sz w:val="20"/>
      <w:szCs w:val="20"/>
    </w:rPr>
  </w:style>
  <w:style w:type="paragraph" w:customStyle="1" w:styleId="num2">
    <w:name w:val="num2"/>
    <w:basedOn w:val="Normal"/>
    <w:rsid w:val="00C60B10"/>
    <w:pPr>
      <w:tabs>
        <w:tab w:val="left" w:pos="-720"/>
      </w:tabs>
      <w:suppressAutoHyphens/>
      <w:spacing w:line="360" w:lineRule="auto"/>
      <w:ind w:firstLine="270"/>
    </w:pPr>
    <w:rPr>
      <w:rFonts w:ascii="Palatino" w:hAnsi="Palatino"/>
      <w:sz w:val="26"/>
      <w:szCs w:val="20"/>
    </w:rPr>
  </w:style>
  <w:style w:type="paragraph" w:customStyle="1" w:styleId="ListNumbers">
    <w:name w:val="List Numbers"/>
    <w:basedOn w:val="Normal"/>
    <w:rsid w:val="00C60B10"/>
    <w:pPr>
      <w:numPr>
        <w:numId w:val="1"/>
      </w:numPr>
    </w:pPr>
    <w:rPr>
      <w:rFonts w:eastAsia="ヒラギノ角ゴ Pro W3"/>
      <w:color w:val="000000"/>
    </w:rPr>
  </w:style>
  <w:style w:type="character" w:styleId="Hyperlink">
    <w:name w:val="Hyperlink"/>
    <w:rsid w:val="00C60B10"/>
    <w:rPr>
      <w:color w:val="0000FF"/>
      <w:u w:val="single"/>
    </w:rPr>
  </w:style>
  <w:style w:type="paragraph" w:styleId="CommentText">
    <w:name w:val="annotation text"/>
    <w:basedOn w:val="Normal"/>
    <w:link w:val="CommentTextChar"/>
    <w:semiHidden/>
    <w:rsid w:val="00E31803"/>
    <w:rPr>
      <w:sz w:val="20"/>
      <w:szCs w:val="20"/>
    </w:rPr>
  </w:style>
  <w:style w:type="character" w:styleId="CommentReference">
    <w:name w:val="annotation reference"/>
    <w:semiHidden/>
    <w:rsid w:val="00164B29"/>
    <w:rPr>
      <w:sz w:val="16"/>
      <w:szCs w:val="16"/>
    </w:rPr>
  </w:style>
  <w:style w:type="paragraph" w:styleId="BalloonText">
    <w:name w:val="Balloon Text"/>
    <w:basedOn w:val="Normal"/>
    <w:semiHidden/>
    <w:rsid w:val="00164B29"/>
    <w:rPr>
      <w:rFonts w:ascii="Tahoma" w:hAnsi="Tahoma" w:cs="Tahoma"/>
      <w:sz w:val="16"/>
      <w:szCs w:val="16"/>
    </w:rPr>
  </w:style>
  <w:style w:type="paragraph" w:customStyle="1" w:styleId="listparagraph">
    <w:name w:val="listparagraph"/>
    <w:basedOn w:val="Normal"/>
    <w:rsid w:val="007D03BB"/>
    <w:pPr>
      <w:spacing w:before="100" w:beforeAutospacing="1" w:after="100" w:afterAutospacing="1"/>
    </w:pPr>
  </w:style>
  <w:style w:type="paragraph" w:customStyle="1" w:styleId="listparagraphcxspmiddle">
    <w:name w:val="listparagraphcxspmiddle"/>
    <w:basedOn w:val="Normal"/>
    <w:rsid w:val="007D03BB"/>
    <w:pPr>
      <w:spacing w:before="100" w:beforeAutospacing="1" w:after="100" w:afterAutospacing="1"/>
    </w:pPr>
  </w:style>
  <w:style w:type="paragraph" w:customStyle="1" w:styleId="listparagraphcxsplast">
    <w:name w:val="listparagraphcxsplast"/>
    <w:basedOn w:val="Normal"/>
    <w:rsid w:val="007D03BB"/>
    <w:pPr>
      <w:spacing w:before="100" w:beforeAutospacing="1" w:after="100" w:afterAutospacing="1"/>
    </w:pPr>
  </w:style>
  <w:style w:type="character" w:customStyle="1" w:styleId="CommentTextChar">
    <w:name w:val="Comment Text Char"/>
    <w:link w:val="CommentText"/>
    <w:rsid w:val="00CE2088"/>
    <w:rPr>
      <w:lang w:val="en-US" w:eastAsia="en-US" w:bidi="ar-SA"/>
    </w:rPr>
  </w:style>
  <w:style w:type="character" w:customStyle="1" w:styleId="itxtrstitxtrstspanitxthookspan">
    <w:name w:val="itxtrst itxtrstspan itxthookspan"/>
    <w:basedOn w:val="DefaultParagraphFont"/>
    <w:rsid w:val="003213AD"/>
  </w:style>
  <w:style w:type="paragraph" w:customStyle="1" w:styleId="Body">
    <w:name w:val="Body"/>
    <w:basedOn w:val="Normal"/>
    <w:link w:val="BodyChar1"/>
    <w:rsid w:val="00BB578F"/>
    <w:pPr>
      <w:widowControl w:val="0"/>
      <w:suppressAutoHyphens/>
      <w:autoSpaceDE w:val="0"/>
      <w:spacing w:after="240" w:line="288" w:lineRule="auto"/>
      <w:jc w:val="both"/>
      <w:textAlignment w:val="center"/>
    </w:pPr>
    <w:rPr>
      <w:rFonts w:ascii="Calibri" w:eastAsia="Cambria" w:hAnsi="Calibri" w:cs="Futura-Light"/>
      <w:color w:val="000000"/>
      <w:sz w:val="20"/>
      <w:szCs w:val="20"/>
      <w:lang w:eastAsia="ar-SA"/>
    </w:rPr>
  </w:style>
  <w:style w:type="character" w:customStyle="1" w:styleId="BodyChar1">
    <w:name w:val="Body Char1"/>
    <w:link w:val="Body"/>
    <w:rsid w:val="00BB578F"/>
    <w:rPr>
      <w:rFonts w:ascii="Calibri" w:eastAsia="Cambria" w:hAnsi="Calibri" w:cs="Futura-Light"/>
      <w:color w:val="000000"/>
      <w:lang w:val="en-US" w:eastAsia="ar-SA" w:bidi="ar-SA"/>
    </w:rPr>
  </w:style>
  <w:style w:type="paragraph" w:styleId="BodyText">
    <w:name w:val="Body Text"/>
    <w:basedOn w:val="Normal"/>
    <w:link w:val="BodyTextChar"/>
    <w:rsid w:val="009D3B4E"/>
    <w:pPr>
      <w:spacing w:after="120"/>
    </w:pPr>
  </w:style>
  <w:style w:type="character" w:styleId="Emphasis">
    <w:name w:val="Emphasis"/>
    <w:uiPriority w:val="20"/>
    <w:qFormat/>
    <w:rsid w:val="00373CC7"/>
    <w:rPr>
      <w:i/>
      <w:iCs/>
    </w:rPr>
  </w:style>
  <w:style w:type="paragraph" w:styleId="NoSpacing">
    <w:name w:val="No Spacing"/>
    <w:uiPriority w:val="1"/>
    <w:qFormat/>
    <w:rsid w:val="00C1033B"/>
    <w:rPr>
      <w:rFonts w:ascii="Calibri" w:eastAsia="Calibri" w:hAnsi="Calibri"/>
      <w:sz w:val="22"/>
      <w:szCs w:val="22"/>
    </w:rPr>
  </w:style>
  <w:style w:type="character" w:customStyle="1" w:styleId="st1">
    <w:name w:val="st1"/>
    <w:rsid w:val="00984B46"/>
  </w:style>
  <w:style w:type="character" w:styleId="FollowedHyperlink">
    <w:name w:val="FollowedHyperlink"/>
    <w:rsid w:val="00640CC5"/>
    <w:rPr>
      <w:color w:val="800080"/>
      <w:u w:val="single"/>
    </w:rPr>
  </w:style>
  <w:style w:type="character" w:customStyle="1" w:styleId="CharChar2">
    <w:name w:val="Char Char2"/>
    <w:rsid w:val="002263F4"/>
    <w:rPr>
      <w:lang w:val="en-US" w:eastAsia="en-US" w:bidi="ar-SA"/>
    </w:rPr>
  </w:style>
  <w:style w:type="paragraph" w:styleId="EndnoteText">
    <w:name w:val="endnote text"/>
    <w:basedOn w:val="Normal"/>
    <w:link w:val="EndnoteTextChar"/>
    <w:rsid w:val="00B64F80"/>
    <w:rPr>
      <w:sz w:val="20"/>
      <w:szCs w:val="20"/>
    </w:rPr>
  </w:style>
  <w:style w:type="character" w:customStyle="1" w:styleId="EndnoteTextChar">
    <w:name w:val="Endnote Text Char"/>
    <w:basedOn w:val="DefaultParagraphFont"/>
    <w:link w:val="EndnoteText"/>
    <w:rsid w:val="00B64F80"/>
  </w:style>
  <w:style w:type="character" w:styleId="EndnoteReference">
    <w:name w:val="endnote reference"/>
    <w:rsid w:val="00B64F80"/>
    <w:rPr>
      <w:vertAlign w:val="superscript"/>
    </w:rPr>
  </w:style>
  <w:style w:type="paragraph" w:customStyle="1" w:styleId="FooterEven">
    <w:name w:val="Footer Even"/>
    <w:basedOn w:val="Normal"/>
    <w:qFormat/>
    <w:rsid w:val="00FE1ED1"/>
    <w:pPr>
      <w:pBdr>
        <w:top w:val="single" w:sz="4" w:space="1" w:color="4F81BD"/>
      </w:pBdr>
      <w:spacing w:after="180" w:line="264" w:lineRule="auto"/>
    </w:pPr>
    <w:rPr>
      <w:rFonts w:ascii="Calibri" w:eastAsia="Calibri" w:hAnsi="Calibri"/>
      <w:color w:val="1F497D"/>
      <w:sz w:val="20"/>
      <w:szCs w:val="20"/>
      <w:lang w:eastAsia="ja-JP"/>
    </w:rPr>
  </w:style>
  <w:style w:type="character" w:customStyle="1" w:styleId="FooterChar">
    <w:name w:val="Footer Char"/>
    <w:link w:val="Footer"/>
    <w:uiPriority w:val="99"/>
    <w:rsid w:val="00F26D77"/>
    <w:rPr>
      <w:sz w:val="24"/>
      <w:szCs w:val="24"/>
    </w:rPr>
  </w:style>
  <w:style w:type="paragraph" w:customStyle="1" w:styleId="3372873BB58A4DED866D2BE34882C06C">
    <w:name w:val="3372873BB58A4DED866D2BE34882C06C"/>
    <w:rsid w:val="000904A4"/>
    <w:pPr>
      <w:spacing w:after="200" w:line="276" w:lineRule="auto"/>
    </w:pPr>
    <w:rPr>
      <w:rFonts w:ascii="Calibri" w:eastAsia="MS Mincho" w:hAnsi="Calibri" w:cs="Arial"/>
      <w:sz w:val="22"/>
      <w:szCs w:val="22"/>
      <w:lang w:eastAsia="ja-JP"/>
    </w:rPr>
  </w:style>
  <w:style w:type="paragraph" w:styleId="NormalWeb">
    <w:name w:val="Normal (Web)"/>
    <w:basedOn w:val="Normal"/>
    <w:uiPriority w:val="99"/>
    <w:unhideWhenUsed/>
    <w:rsid w:val="00EE3E55"/>
    <w:rPr>
      <w:rFonts w:eastAsia="Calibri"/>
    </w:rPr>
  </w:style>
  <w:style w:type="character" w:styleId="Strong">
    <w:name w:val="Strong"/>
    <w:uiPriority w:val="22"/>
    <w:qFormat/>
    <w:rsid w:val="00EE3E55"/>
    <w:rPr>
      <w:b/>
      <w:bCs/>
    </w:rPr>
  </w:style>
  <w:style w:type="paragraph" w:styleId="Subtitle">
    <w:name w:val="Subtitle"/>
    <w:basedOn w:val="Normal"/>
    <w:next w:val="Normal"/>
    <w:link w:val="SubtitleChar"/>
    <w:qFormat/>
    <w:rsid w:val="00880523"/>
    <w:pPr>
      <w:spacing w:after="60"/>
      <w:jc w:val="center"/>
      <w:outlineLvl w:val="1"/>
    </w:pPr>
    <w:rPr>
      <w:rFonts w:ascii="Calibri Light" w:hAnsi="Calibri Light"/>
    </w:rPr>
  </w:style>
  <w:style w:type="character" w:customStyle="1" w:styleId="SubtitleChar">
    <w:name w:val="Subtitle Char"/>
    <w:link w:val="Subtitle"/>
    <w:rsid w:val="00880523"/>
    <w:rPr>
      <w:rFonts w:ascii="Calibri Light" w:eastAsia="Times New Roman" w:hAnsi="Calibri Light" w:cs="Times New Roman"/>
      <w:sz w:val="24"/>
      <w:szCs w:val="24"/>
    </w:rPr>
  </w:style>
  <w:style w:type="paragraph" w:styleId="PlainText">
    <w:name w:val="Plain Text"/>
    <w:basedOn w:val="Normal"/>
    <w:link w:val="PlainTextChar"/>
    <w:uiPriority w:val="99"/>
    <w:unhideWhenUsed/>
    <w:rsid w:val="00CC3910"/>
    <w:rPr>
      <w:rFonts w:ascii="Calibri" w:eastAsia="Calibri" w:hAnsi="Calibri"/>
      <w:sz w:val="22"/>
      <w:szCs w:val="21"/>
    </w:rPr>
  </w:style>
  <w:style w:type="character" w:customStyle="1" w:styleId="PlainTextChar">
    <w:name w:val="Plain Text Char"/>
    <w:link w:val="PlainText"/>
    <w:uiPriority w:val="99"/>
    <w:rsid w:val="00CC3910"/>
    <w:rPr>
      <w:rFonts w:ascii="Calibri" w:eastAsia="Calibri" w:hAnsi="Calibri"/>
      <w:sz w:val="22"/>
      <w:szCs w:val="21"/>
    </w:rPr>
  </w:style>
  <w:style w:type="paragraph" w:styleId="ListParagraph0">
    <w:name w:val="List Paragraph"/>
    <w:basedOn w:val="Normal"/>
    <w:uiPriority w:val="34"/>
    <w:qFormat/>
    <w:rsid w:val="00C522AD"/>
    <w:pPr>
      <w:ind w:left="720"/>
    </w:pPr>
    <w:rPr>
      <w:rFonts w:ascii="Calibri" w:eastAsia="Calibri" w:hAnsi="Calibri"/>
      <w:sz w:val="22"/>
      <w:szCs w:val="22"/>
    </w:rPr>
  </w:style>
  <w:style w:type="character" w:customStyle="1" w:styleId="HeaderChar">
    <w:name w:val="Header Char"/>
    <w:link w:val="Header"/>
    <w:uiPriority w:val="99"/>
    <w:rsid w:val="00296512"/>
    <w:rPr>
      <w:sz w:val="24"/>
      <w:szCs w:val="24"/>
    </w:rPr>
  </w:style>
  <w:style w:type="character" w:customStyle="1" w:styleId="Heading1Char">
    <w:name w:val="Heading 1 Char"/>
    <w:basedOn w:val="DefaultParagraphFont"/>
    <w:link w:val="Heading1"/>
    <w:rsid w:val="00F35198"/>
    <w:rPr>
      <w:rFonts w:ascii="Arrus BT Roman" w:hAnsi="Arrus BT Roman"/>
      <w:i/>
      <w:sz w:val="24"/>
    </w:rPr>
  </w:style>
  <w:style w:type="character" w:customStyle="1" w:styleId="Heading2Char">
    <w:name w:val="Heading 2 Char"/>
    <w:basedOn w:val="DefaultParagraphFont"/>
    <w:link w:val="Heading2"/>
    <w:rsid w:val="00F35198"/>
    <w:rPr>
      <w:b/>
      <w:bCs/>
      <w:sz w:val="36"/>
      <w:szCs w:val="36"/>
    </w:rPr>
  </w:style>
  <w:style w:type="character" w:customStyle="1" w:styleId="Heading3Char">
    <w:name w:val="Heading 3 Char"/>
    <w:basedOn w:val="DefaultParagraphFont"/>
    <w:link w:val="Heading3"/>
    <w:rsid w:val="00F35198"/>
    <w:rPr>
      <w:b/>
    </w:rPr>
  </w:style>
  <w:style w:type="character" w:customStyle="1" w:styleId="Heading4Char">
    <w:name w:val="Heading 4 Char"/>
    <w:basedOn w:val="DefaultParagraphFont"/>
    <w:link w:val="Heading4"/>
    <w:rsid w:val="00F35198"/>
    <w:rPr>
      <w:rFonts w:ascii="Arrus BT Roman" w:hAnsi="Arrus BT Roman"/>
      <w:i/>
    </w:rPr>
  </w:style>
  <w:style w:type="character" w:customStyle="1" w:styleId="FootnoteTextChar">
    <w:name w:val="Footnote Text Char"/>
    <w:basedOn w:val="DefaultParagraphFont"/>
    <w:link w:val="FootnoteText"/>
    <w:rsid w:val="002D0A7F"/>
  </w:style>
  <w:style w:type="character" w:customStyle="1" w:styleId="content">
    <w:name w:val="content"/>
    <w:basedOn w:val="DefaultParagraphFont"/>
    <w:rsid w:val="002E6E9E"/>
  </w:style>
  <w:style w:type="paragraph" w:styleId="Revision">
    <w:name w:val="Revision"/>
    <w:hidden/>
    <w:uiPriority w:val="99"/>
    <w:semiHidden/>
    <w:rsid w:val="00076E73"/>
    <w:rPr>
      <w:sz w:val="24"/>
      <w:szCs w:val="24"/>
    </w:rPr>
  </w:style>
  <w:style w:type="character" w:customStyle="1" w:styleId="BodyTextChar">
    <w:name w:val="Body Text Char"/>
    <w:basedOn w:val="DefaultParagraphFont"/>
    <w:link w:val="BodyText"/>
    <w:rsid w:val="00A44B9D"/>
    <w:rPr>
      <w:sz w:val="24"/>
      <w:szCs w:val="24"/>
    </w:rPr>
  </w:style>
  <w:style w:type="character" w:customStyle="1" w:styleId="BodyTextIndentChar">
    <w:name w:val="Body Text Indent Char"/>
    <w:basedOn w:val="DefaultParagraphFont"/>
    <w:link w:val="BodyTextIndent"/>
    <w:rsid w:val="00A44B9D"/>
    <w:rPr>
      <w:sz w:val="26"/>
    </w:rPr>
  </w:style>
  <w:style w:type="paragraph" w:customStyle="1" w:styleId="BasicParagraph">
    <w:name w:val="[Basic Paragraph]"/>
    <w:basedOn w:val="Normal"/>
    <w:uiPriority w:val="99"/>
    <w:rsid w:val="00DD6CB0"/>
    <w:pPr>
      <w:autoSpaceDE w:val="0"/>
      <w:autoSpaceDN w:val="0"/>
      <w:adjustRightInd w:val="0"/>
      <w:spacing w:line="288" w:lineRule="auto"/>
      <w:textAlignment w:val="center"/>
    </w:pPr>
    <w:rPr>
      <w:rFonts w:ascii="MinionPro-Regular" w:eastAsia="Calibri" w:hAnsi="MinionPro-Regular" w:cs="MinionPro-Regular"/>
      <w:color w:val="000000"/>
    </w:rPr>
  </w:style>
  <w:style w:type="paragraph" w:customStyle="1" w:styleId="BodyTextNoIndent">
    <w:name w:val="Body Text No Indent"/>
    <w:basedOn w:val="Normal"/>
    <w:uiPriority w:val="99"/>
    <w:rsid w:val="006C79BD"/>
    <w:pPr>
      <w:autoSpaceDE w:val="0"/>
      <w:autoSpaceDN w:val="0"/>
      <w:adjustRightInd w:val="0"/>
      <w:spacing w:after="120" w:line="280" w:lineRule="atLeast"/>
      <w:jc w:val="both"/>
      <w:textAlignment w:val="center"/>
    </w:pPr>
    <w:rPr>
      <w:rFonts w:ascii="Arial" w:eastAsia="Calibri" w:hAnsi="Arial" w:cs="Arial"/>
      <w:color w:val="000000"/>
      <w:sz w:val="20"/>
      <w:szCs w:val="20"/>
    </w:rPr>
  </w:style>
  <w:style w:type="paragraph" w:customStyle="1" w:styleId="GreyHeading2StyleGroup1">
    <w:name w:val="Grey Heading 2 (Style Group 1)"/>
    <w:basedOn w:val="Normal"/>
    <w:uiPriority w:val="99"/>
    <w:rsid w:val="006C79BD"/>
    <w:pPr>
      <w:autoSpaceDE w:val="0"/>
      <w:autoSpaceDN w:val="0"/>
      <w:adjustRightInd w:val="0"/>
      <w:spacing w:after="120" w:line="280" w:lineRule="atLeast"/>
      <w:jc w:val="both"/>
      <w:textAlignment w:val="center"/>
    </w:pPr>
    <w:rPr>
      <w:rFonts w:ascii="Arial" w:eastAsia="Calibri" w:hAnsi="Arial" w:cs="Arial"/>
      <w:b/>
      <w:bCs/>
      <w:color w:val="000000"/>
      <w:sz w:val="20"/>
      <w:szCs w:val="20"/>
    </w:rPr>
  </w:style>
  <w:style w:type="paragraph" w:customStyle="1" w:styleId="BodyTextwithIndent">
    <w:name w:val="Body Text with Indent"/>
    <w:basedOn w:val="Normal"/>
    <w:uiPriority w:val="99"/>
    <w:rsid w:val="006C79BD"/>
    <w:pPr>
      <w:autoSpaceDE w:val="0"/>
      <w:autoSpaceDN w:val="0"/>
      <w:adjustRightInd w:val="0"/>
      <w:spacing w:after="120" w:line="280" w:lineRule="atLeast"/>
      <w:ind w:firstLine="360"/>
      <w:jc w:val="both"/>
      <w:textAlignment w:val="center"/>
    </w:pPr>
    <w:rPr>
      <w:rFonts w:ascii="Arial" w:eastAsia="Calibri" w:hAnsi="Arial" w:cs="Arial"/>
      <w:color w:val="000000"/>
      <w:sz w:val="20"/>
      <w:szCs w:val="20"/>
    </w:rPr>
  </w:style>
  <w:style w:type="paragraph" w:customStyle="1" w:styleId="Default">
    <w:name w:val="Default"/>
    <w:rsid w:val="006C79BD"/>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bodytextwithindent0">
    <w:name w:val="bodytextwithindent"/>
    <w:basedOn w:val="Normal"/>
    <w:rsid w:val="006C79BD"/>
    <w:pPr>
      <w:autoSpaceDE w:val="0"/>
      <w:autoSpaceDN w:val="0"/>
      <w:spacing w:after="120" w:line="280" w:lineRule="atLeast"/>
      <w:ind w:firstLine="360"/>
      <w:jc w:val="both"/>
    </w:pPr>
    <w:rPr>
      <w:rFonts w:ascii="Arial" w:eastAsiaTheme="minorHAnsi" w:hAnsi="Arial" w:cs="Arial"/>
      <w:color w:val="000000"/>
      <w:sz w:val="20"/>
      <w:szCs w:val="20"/>
    </w:rPr>
  </w:style>
  <w:style w:type="character" w:customStyle="1" w:styleId="Heading6Char">
    <w:name w:val="Heading 6 Char"/>
    <w:basedOn w:val="DefaultParagraphFont"/>
    <w:link w:val="Heading6"/>
    <w:semiHidden/>
    <w:rsid w:val="00D02D79"/>
    <w:rPr>
      <w:rFonts w:asciiTheme="majorHAnsi" w:eastAsiaTheme="majorEastAsia" w:hAnsiTheme="majorHAnsi" w:cstheme="majorBidi"/>
      <w:i/>
      <w:iCs/>
      <w:color w:val="243F60" w:themeColor="accent1" w:themeShade="7F"/>
      <w:sz w:val="24"/>
      <w:szCs w:val="24"/>
    </w:rPr>
  </w:style>
  <w:style w:type="character" w:customStyle="1" w:styleId="ekflexmenuaccessiblesubmenuselectedmessage">
    <w:name w:val="ekflexmenu_accessible_submenu_selected_message"/>
    <w:basedOn w:val="DefaultParagraphFont"/>
    <w:rsid w:val="00D02D79"/>
  </w:style>
  <w:style w:type="character" w:customStyle="1" w:styleId="ekflexmenuaccessiblemenuitemselectedmessage">
    <w:name w:val="ekflexmenu_accessible_menuitem_selected_message"/>
    <w:basedOn w:val="DefaultParagraphFont"/>
    <w:rsid w:val="00D02D79"/>
  </w:style>
  <w:style w:type="character" w:customStyle="1" w:styleId="A1">
    <w:name w:val="A1"/>
    <w:uiPriority w:val="99"/>
    <w:rsid w:val="0039557A"/>
    <w:rPr>
      <w:color w:val="221E1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uiPriority="22" w:qFormat="1"/>
    <w:lsdException w:name="Emphasis" w:semiHidden="0" w:uiPriority="2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A44B9D"/>
    <w:rPr>
      <w:sz w:val="24"/>
      <w:szCs w:val="24"/>
    </w:rPr>
  </w:style>
  <w:style w:type="paragraph" w:styleId="Heading1">
    <w:name w:val="heading 1"/>
    <w:basedOn w:val="Normal"/>
    <w:next w:val="Normal"/>
    <w:link w:val="Heading1Char"/>
    <w:qFormat/>
    <w:rsid w:val="002045A6"/>
    <w:pPr>
      <w:keepNext/>
      <w:jc w:val="center"/>
      <w:outlineLvl w:val="0"/>
    </w:pPr>
    <w:rPr>
      <w:rFonts w:ascii="Arrus BT Roman" w:hAnsi="Arrus BT Roman"/>
      <w:i/>
      <w:szCs w:val="20"/>
    </w:rPr>
  </w:style>
  <w:style w:type="paragraph" w:styleId="Heading2">
    <w:name w:val="heading 2"/>
    <w:basedOn w:val="Normal"/>
    <w:link w:val="Heading2Char"/>
    <w:qFormat/>
    <w:rsid w:val="00797F18"/>
    <w:pPr>
      <w:spacing w:before="100" w:beforeAutospacing="1" w:after="100" w:afterAutospacing="1"/>
      <w:outlineLvl w:val="1"/>
    </w:pPr>
    <w:rPr>
      <w:b/>
      <w:bCs/>
      <w:sz w:val="36"/>
      <w:szCs w:val="36"/>
    </w:rPr>
  </w:style>
  <w:style w:type="paragraph" w:styleId="Heading3">
    <w:name w:val="heading 3"/>
    <w:basedOn w:val="Normal"/>
    <w:next w:val="Normal"/>
    <w:link w:val="Heading3Char"/>
    <w:qFormat/>
    <w:rsid w:val="002045A6"/>
    <w:pPr>
      <w:keepNext/>
      <w:jc w:val="center"/>
      <w:outlineLvl w:val="2"/>
    </w:pPr>
    <w:rPr>
      <w:b/>
      <w:sz w:val="20"/>
      <w:szCs w:val="20"/>
    </w:rPr>
  </w:style>
  <w:style w:type="paragraph" w:styleId="Heading4">
    <w:name w:val="heading 4"/>
    <w:basedOn w:val="Normal"/>
    <w:next w:val="Normal"/>
    <w:link w:val="Heading4Char"/>
    <w:qFormat/>
    <w:rsid w:val="002045A6"/>
    <w:pPr>
      <w:keepNext/>
      <w:jc w:val="center"/>
      <w:outlineLvl w:val="3"/>
    </w:pPr>
    <w:rPr>
      <w:rFonts w:ascii="Arrus BT Roman" w:hAnsi="Arrus BT Roman"/>
      <w:i/>
      <w:sz w:val="20"/>
      <w:szCs w:val="20"/>
    </w:rPr>
  </w:style>
  <w:style w:type="paragraph" w:styleId="Heading6">
    <w:name w:val="heading 6"/>
    <w:basedOn w:val="Normal"/>
    <w:next w:val="Normal"/>
    <w:link w:val="Heading6Char"/>
    <w:semiHidden/>
    <w:unhideWhenUsed/>
    <w:qFormat/>
    <w:rsid w:val="00D02D7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A1701"/>
    <w:pPr>
      <w:tabs>
        <w:tab w:val="center" w:pos="4320"/>
        <w:tab w:val="right" w:pos="8640"/>
      </w:tabs>
    </w:pPr>
  </w:style>
  <w:style w:type="paragraph" w:styleId="Footer">
    <w:name w:val="footer"/>
    <w:basedOn w:val="Normal"/>
    <w:link w:val="FooterChar"/>
    <w:uiPriority w:val="99"/>
    <w:rsid w:val="000A1701"/>
    <w:pPr>
      <w:tabs>
        <w:tab w:val="center" w:pos="4320"/>
        <w:tab w:val="right" w:pos="8640"/>
      </w:tabs>
    </w:pPr>
  </w:style>
  <w:style w:type="table" w:styleId="TableGrid">
    <w:name w:val="Table Grid"/>
    <w:basedOn w:val="TableNormal"/>
    <w:rsid w:val="002A22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257D57"/>
    <w:pPr>
      <w:tabs>
        <w:tab w:val="right" w:pos="5040"/>
      </w:tabs>
      <w:overflowPunct w:val="0"/>
      <w:autoSpaceDE w:val="0"/>
      <w:autoSpaceDN w:val="0"/>
      <w:adjustRightInd w:val="0"/>
      <w:spacing w:after="120"/>
      <w:ind w:left="360"/>
      <w:textAlignment w:val="baseline"/>
    </w:pPr>
    <w:rPr>
      <w:sz w:val="26"/>
      <w:szCs w:val="20"/>
    </w:rPr>
  </w:style>
  <w:style w:type="paragraph" w:styleId="Caption">
    <w:name w:val="caption"/>
    <w:basedOn w:val="Normal"/>
    <w:next w:val="Normal"/>
    <w:qFormat/>
    <w:rsid w:val="008A2708"/>
    <w:rPr>
      <w:b/>
      <w:bCs/>
      <w:sz w:val="20"/>
      <w:szCs w:val="20"/>
    </w:rPr>
  </w:style>
  <w:style w:type="character" w:styleId="PageNumber">
    <w:name w:val="page number"/>
    <w:basedOn w:val="DefaultParagraphFont"/>
    <w:rsid w:val="00FD3E40"/>
  </w:style>
  <w:style w:type="paragraph" w:styleId="FootnoteText">
    <w:name w:val="footnote text"/>
    <w:basedOn w:val="Normal"/>
    <w:link w:val="FootnoteTextChar"/>
    <w:rsid w:val="00AA2643"/>
    <w:rPr>
      <w:sz w:val="20"/>
      <w:szCs w:val="20"/>
    </w:rPr>
  </w:style>
  <w:style w:type="character" w:styleId="FootnoteReference">
    <w:name w:val="footnote reference"/>
    <w:rsid w:val="00AA2643"/>
    <w:rPr>
      <w:vertAlign w:val="superscript"/>
    </w:rPr>
  </w:style>
  <w:style w:type="paragraph" w:styleId="DocumentMap">
    <w:name w:val="Document Map"/>
    <w:basedOn w:val="Normal"/>
    <w:semiHidden/>
    <w:rsid w:val="004841C8"/>
    <w:pPr>
      <w:shd w:val="clear" w:color="auto" w:fill="000080"/>
    </w:pPr>
    <w:rPr>
      <w:rFonts w:ascii="Tahoma" w:hAnsi="Tahoma" w:cs="Tahoma"/>
      <w:sz w:val="20"/>
      <w:szCs w:val="20"/>
    </w:rPr>
  </w:style>
  <w:style w:type="paragraph" w:customStyle="1" w:styleId="num2">
    <w:name w:val="num2"/>
    <w:basedOn w:val="Normal"/>
    <w:rsid w:val="00C60B10"/>
    <w:pPr>
      <w:tabs>
        <w:tab w:val="left" w:pos="-720"/>
      </w:tabs>
      <w:suppressAutoHyphens/>
      <w:spacing w:line="360" w:lineRule="auto"/>
      <w:ind w:firstLine="270"/>
    </w:pPr>
    <w:rPr>
      <w:rFonts w:ascii="Palatino" w:hAnsi="Palatino"/>
      <w:sz w:val="26"/>
      <w:szCs w:val="20"/>
    </w:rPr>
  </w:style>
  <w:style w:type="paragraph" w:customStyle="1" w:styleId="ListNumbers">
    <w:name w:val="List Numbers"/>
    <w:basedOn w:val="Normal"/>
    <w:rsid w:val="00C60B10"/>
    <w:pPr>
      <w:numPr>
        <w:numId w:val="1"/>
      </w:numPr>
    </w:pPr>
    <w:rPr>
      <w:rFonts w:eastAsia="ヒラギノ角ゴ Pro W3"/>
      <w:color w:val="000000"/>
    </w:rPr>
  </w:style>
  <w:style w:type="character" w:styleId="Hyperlink">
    <w:name w:val="Hyperlink"/>
    <w:rsid w:val="00C60B10"/>
    <w:rPr>
      <w:color w:val="0000FF"/>
      <w:u w:val="single"/>
    </w:rPr>
  </w:style>
  <w:style w:type="paragraph" w:styleId="CommentText">
    <w:name w:val="annotation text"/>
    <w:basedOn w:val="Normal"/>
    <w:link w:val="CommentTextChar"/>
    <w:semiHidden/>
    <w:rsid w:val="00E31803"/>
    <w:rPr>
      <w:sz w:val="20"/>
      <w:szCs w:val="20"/>
    </w:rPr>
  </w:style>
  <w:style w:type="character" w:styleId="CommentReference">
    <w:name w:val="annotation reference"/>
    <w:semiHidden/>
    <w:rsid w:val="00164B29"/>
    <w:rPr>
      <w:sz w:val="16"/>
      <w:szCs w:val="16"/>
    </w:rPr>
  </w:style>
  <w:style w:type="paragraph" w:styleId="BalloonText">
    <w:name w:val="Balloon Text"/>
    <w:basedOn w:val="Normal"/>
    <w:semiHidden/>
    <w:rsid w:val="00164B29"/>
    <w:rPr>
      <w:rFonts w:ascii="Tahoma" w:hAnsi="Tahoma" w:cs="Tahoma"/>
      <w:sz w:val="16"/>
      <w:szCs w:val="16"/>
    </w:rPr>
  </w:style>
  <w:style w:type="paragraph" w:customStyle="1" w:styleId="listparagraph">
    <w:name w:val="listparagraph"/>
    <w:basedOn w:val="Normal"/>
    <w:rsid w:val="007D03BB"/>
    <w:pPr>
      <w:spacing w:before="100" w:beforeAutospacing="1" w:after="100" w:afterAutospacing="1"/>
    </w:pPr>
  </w:style>
  <w:style w:type="paragraph" w:customStyle="1" w:styleId="listparagraphcxspmiddle">
    <w:name w:val="listparagraphcxspmiddle"/>
    <w:basedOn w:val="Normal"/>
    <w:rsid w:val="007D03BB"/>
    <w:pPr>
      <w:spacing w:before="100" w:beforeAutospacing="1" w:after="100" w:afterAutospacing="1"/>
    </w:pPr>
  </w:style>
  <w:style w:type="paragraph" w:customStyle="1" w:styleId="listparagraphcxsplast">
    <w:name w:val="listparagraphcxsplast"/>
    <w:basedOn w:val="Normal"/>
    <w:rsid w:val="007D03BB"/>
    <w:pPr>
      <w:spacing w:before="100" w:beforeAutospacing="1" w:after="100" w:afterAutospacing="1"/>
    </w:pPr>
  </w:style>
  <w:style w:type="character" w:customStyle="1" w:styleId="CommentTextChar">
    <w:name w:val="Comment Text Char"/>
    <w:link w:val="CommentText"/>
    <w:rsid w:val="00CE2088"/>
    <w:rPr>
      <w:lang w:val="en-US" w:eastAsia="en-US" w:bidi="ar-SA"/>
    </w:rPr>
  </w:style>
  <w:style w:type="character" w:customStyle="1" w:styleId="itxtrstitxtrstspanitxthookspan">
    <w:name w:val="itxtrst itxtrstspan itxthookspan"/>
    <w:basedOn w:val="DefaultParagraphFont"/>
    <w:rsid w:val="003213AD"/>
  </w:style>
  <w:style w:type="paragraph" w:customStyle="1" w:styleId="Body">
    <w:name w:val="Body"/>
    <w:basedOn w:val="Normal"/>
    <w:link w:val="BodyChar1"/>
    <w:rsid w:val="00BB578F"/>
    <w:pPr>
      <w:widowControl w:val="0"/>
      <w:suppressAutoHyphens/>
      <w:autoSpaceDE w:val="0"/>
      <w:spacing w:after="240" w:line="288" w:lineRule="auto"/>
      <w:jc w:val="both"/>
      <w:textAlignment w:val="center"/>
    </w:pPr>
    <w:rPr>
      <w:rFonts w:ascii="Calibri" w:eastAsia="Cambria" w:hAnsi="Calibri" w:cs="Futura-Light"/>
      <w:color w:val="000000"/>
      <w:sz w:val="20"/>
      <w:szCs w:val="20"/>
      <w:lang w:eastAsia="ar-SA"/>
    </w:rPr>
  </w:style>
  <w:style w:type="character" w:customStyle="1" w:styleId="BodyChar1">
    <w:name w:val="Body Char1"/>
    <w:link w:val="Body"/>
    <w:rsid w:val="00BB578F"/>
    <w:rPr>
      <w:rFonts w:ascii="Calibri" w:eastAsia="Cambria" w:hAnsi="Calibri" w:cs="Futura-Light"/>
      <w:color w:val="000000"/>
      <w:lang w:val="en-US" w:eastAsia="ar-SA" w:bidi="ar-SA"/>
    </w:rPr>
  </w:style>
  <w:style w:type="paragraph" w:styleId="BodyText">
    <w:name w:val="Body Text"/>
    <w:basedOn w:val="Normal"/>
    <w:link w:val="BodyTextChar"/>
    <w:rsid w:val="009D3B4E"/>
    <w:pPr>
      <w:spacing w:after="120"/>
    </w:pPr>
  </w:style>
  <w:style w:type="character" w:styleId="Emphasis">
    <w:name w:val="Emphasis"/>
    <w:uiPriority w:val="20"/>
    <w:qFormat/>
    <w:rsid w:val="00373CC7"/>
    <w:rPr>
      <w:i/>
      <w:iCs/>
    </w:rPr>
  </w:style>
  <w:style w:type="paragraph" w:styleId="NoSpacing">
    <w:name w:val="No Spacing"/>
    <w:uiPriority w:val="1"/>
    <w:qFormat/>
    <w:rsid w:val="00C1033B"/>
    <w:rPr>
      <w:rFonts w:ascii="Calibri" w:eastAsia="Calibri" w:hAnsi="Calibri"/>
      <w:sz w:val="22"/>
      <w:szCs w:val="22"/>
    </w:rPr>
  </w:style>
  <w:style w:type="character" w:customStyle="1" w:styleId="st1">
    <w:name w:val="st1"/>
    <w:rsid w:val="00984B46"/>
  </w:style>
  <w:style w:type="character" w:styleId="FollowedHyperlink">
    <w:name w:val="FollowedHyperlink"/>
    <w:rsid w:val="00640CC5"/>
    <w:rPr>
      <w:color w:val="800080"/>
      <w:u w:val="single"/>
    </w:rPr>
  </w:style>
  <w:style w:type="character" w:customStyle="1" w:styleId="CharChar2">
    <w:name w:val="Char Char2"/>
    <w:rsid w:val="002263F4"/>
    <w:rPr>
      <w:lang w:val="en-US" w:eastAsia="en-US" w:bidi="ar-SA"/>
    </w:rPr>
  </w:style>
  <w:style w:type="paragraph" w:styleId="EndnoteText">
    <w:name w:val="endnote text"/>
    <w:basedOn w:val="Normal"/>
    <w:link w:val="EndnoteTextChar"/>
    <w:rsid w:val="00B64F80"/>
    <w:rPr>
      <w:sz w:val="20"/>
      <w:szCs w:val="20"/>
    </w:rPr>
  </w:style>
  <w:style w:type="character" w:customStyle="1" w:styleId="EndnoteTextChar">
    <w:name w:val="Endnote Text Char"/>
    <w:basedOn w:val="DefaultParagraphFont"/>
    <w:link w:val="EndnoteText"/>
    <w:rsid w:val="00B64F80"/>
  </w:style>
  <w:style w:type="character" w:styleId="EndnoteReference">
    <w:name w:val="endnote reference"/>
    <w:rsid w:val="00B64F80"/>
    <w:rPr>
      <w:vertAlign w:val="superscript"/>
    </w:rPr>
  </w:style>
  <w:style w:type="paragraph" w:customStyle="1" w:styleId="FooterEven">
    <w:name w:val="Footer Even"/>
    <w:basedOn w:val="Normal"/>
    <w:qFormat/>
    <w:rsid w:val="00FE1ED1"/>
    <w:pPr>
      <w:pBdr>
        <w:top w:val="single" w:sz="4" w:space="1" w:color="4F81BD"/>
      </w:pBdr>
      <w:spacing w:after="180" w:line="264" w:lineRule="auto"/>
    </w:pPr>
    <w:rPr>
      <w:rFonts w:ascii="Calibri" w:eastAsia="Calibri" w:hAnsi="Calibri"/>
      <w:color w:val="1F497D"/>
      <w:sz w:val="20"/>
      <w:szCs w:val="20"/>
      <w:lang w:eastAsia="ja-JP"/>
    </w:rPr>
  </w:style>
  <w:style w:type="character" w:customStyle="1" w:styleId="FooterChar">
    <w:name w:val="Footer Char"/>
    <w:link w:val="Footer"/>
    <w:uiPriority w:val="99"/>
    <w:rsid w:val="00F26D77"/>
    <w:rPr>
      <w:sz w:val="24"/>
      <w:szCs w:val="24"/>
    </w:rPr>
  </w:style>
  <w:style w:type="paragraph" w:customStyle="1" w:styleId="3372873BB58A4DED866D2BE34882C06C">
    <w:name w:val="3372873BB58A4DED866D2BE34882C06C"/>
    <w:rsid w:val="000904A4"/>
    <w:pPr>
      <w:spacing w:after="200" w:line="276" w:lineRule="auto"/>
    </w:pPr>
    <w:rPr>
      <w:rFonts w:ascii="Calibri" w:eastAsia="MS Mincho" w:hAnsi="Calibri" w:cs="Arial"/>
      <w:sz w:val="22"/>
      <w:szCs w:val="22"/>
      <w:lang w:eastAsia="ja-JP"/>
    </w:rPr>
  </w:style>
  <w:style w:type="paragraph" w:styleId="NormalWeb">
    <w:name w:val="Normal (Web)"/>
    <w:basedOn w:val="Normal"/>
    <w:uiPriority w:val="99"/>
    <w:unhideWhenUsed/>
    <w:rsid w:val="00EE3E55"/>
    <w:rPr>
      <w:rFonts w:eastAsia="Calibri"/>
    </w:rPr>
  </w:style>
  <w:style w:type="character" w:styleId="Strong">
    <w:name w:val="Strong"/>
    <w:uiPriority w:val="22"/>
    <w:qFormat/>
    <w:rsid w:val="00EE3E55"/>
    <w:rPr>
      <w:b/>
      <w:bCs/>
    </w:rPr>
  </w:style>
  <w:style w:type="paragraph" w:styleId="Subtitle">
    <w:name w:val="Subtitle"/>
    <w:basedOn w:val="Normal"/>
    <w:next w:val="Normal"/>
    <w:link w:val="SubtitleChar"/>
    <w:qFormat/>
    <w:rsid w:val="00880523"/>
    <w:pPr>
      <w:spacing w:after="60"/>
      <w:jc w:val="center"/>
      <w:outlineLvl w:val="1"/>
    </w:pPr>
    <w:rPr>
      <w:rFonts w:ascii="Calibri Light" w:hAnsi="Calibri Light"/>
    </w:rPr>
  </w:style>
  <w:style w:type="character" w:customStyle="1" w:styleId="SubtitleChar">
    <w:name w:val="Subtitle Char"/>
    <w:link w:val="Subtitle"/>
    <w:rsid w:val="00880523"/>
    <w:rPr>
      <w:rFonts w:ascii="Calibri Light" w:eastAsia="Times New Roman" w:hAnsi="Calibri Light" w:cs="Times New Roman"/>
      <w:sz w:val="24"/>
      <w:szCs w:val="24"/>
    </w:rPr>
  </w:style>
  <w:style w:type="paragraph" w:styleId="PlainText">
    <w:name w:val="Plain Text"/>
    <w:basedOn w:val="Normal"/>
    <w:link w:val="PlainTextChar"/>
    <w:uiPriority w:val="99"/>
    <w:unhideWhenUsed/>
    <w:rsid w:val="00CC3910"/>
    <w:rPr>
      <w:rFonts w:ascii="Calibri" w:eastAsia="Calibri" w:hAnsi="Calibri"/>
      <w:sz w:val="22"/>
      <w:szCs w:val="21"/>
    </w:rPr>
  </w:style>
  <w:style w:type="character" w:customStyle="1" w:styleId="PlainTextChar">
    <w:name w:val="Plain Text Char"/>
    <w:link w:val="PlainText"/>
    <w:uiPriority w:val="99"/>
    <w:rsid w:val="00CC3910"/>
    <w:rPr>
      <w:rFonts w:ascii="Calibri" w:eastAsia="Calibri" w:hAnsi="Calibri"/>
      <w:sz w:val="22"/>
      <w:szCs w:val="21"/>
    </w:rPr>
  </w:style>
  <w:style w:type="paragraph" w:styleId="ListParagraph0">
    <w:name w:val="List Paragraph"/>
    <w:basedOn w:val="Normal"/>
    <w:uiPriority w:val="34"/>
    <w:qFormat/>
    <w:rsid w:val="00C522AD"/>
    <w:pPr>
      <w:ind w:left="720"/>
    </w:pPr>
    <w:rPr>
      <w:rFonts w:ascii="Calibri" w:eastAsia="Calibri" w:hAnsi="Calibri"/>
      <w:sz w:val="22"/>
      <w:szCs w:val="22"/>
    </w:rPr>
  </w:style>
  <w:style w:type="character" w:customStyle="1" w:styleId="HeaderChar">
    <w:name w:val="Header Char"/>
    <w:link w:val="Header"/>
    <w:uiPriority w:val="99"/>
    <w:rsid w:val="00296512"/>
    <w:rPr>
      <w:sz w:val="24"/>
      <w:szCs w:val="24"/>
    </w:rPr>
  </w:style>
  <w:style w:type="character" w:customStyle="1" w:styleId="Heading1Char">
    <w:name w:val="Heading 1 Char"/>
    <w:basedOn w:val="DefaultParagraphFont"/>
    <w:link w:val="Heading1"/>
    <w:rsid w:val="00F35198"/>
    <w:rPr>
      <w:rFonts w:ascii="Arrus BT Roman" w:hAnsi="Arrus BT Roman"/>
      <w:i/>
      <w:sz w:val="24"/>
    </w:rPr>
  </w:style>
  <w:style w:type="character" w:customStyle="1" w:styleId="Heading2Char">
    <w:name w:val="Heading 2 Char"/>
    <w:basedOn w:val="DefaultParagraphFont"/>
    <w:link w:val="Heading2"/>
    <w:rsid w:val="00F35198"/>
    <w:rPr>
      <w:b/>
      <w:bCs/>
      <w:sz w:val="36"/>
      <w:szCs w:val="36"/>
    </w:rPr>
  </w:style>
  <w:style w:type="character" w:customStyle="1" w:styleId="Heading3Char">
    <w:name w:val="Heading 3 Char"/>
    <w:basedOn w:val="DefaultParagraphFont"/>
    <w:link w:val="Heading3"/>
    <w:rsid w:val="00F35198"/>
    <w:rPr>
      <w:b/>
    </w:rPr>
  </w:style>
  <w:style w:type="character" w:customStyle="1" w:styleId="Heading4Char">
    <w:name w:val="Heading 4 Char"/>
    <w:basedOn w:val="DefaultParagraphFont"/>
    <w:link w:val="Heading4"/>
    <w:rsid w:val="00F35198"/>
    <w:rPr>
      <w:rFonts w:ascii="Arrus BT Roman" w:hAnsi="Arrus BT Roman"/>
      <w:i/>
    </w:rPr>
  </w:style>
  <w:style w:type="character" w:customStyle="1" w:styleId="FootnoteTextChar">
    <w:name w:val="Footnote Text Char"/>
    <w:basedOn w:val="DefaultParagraphFont"/>
    <w:link w:val="FootnoteText"/>
    <w:rsid w:val="002D0A7F"/>
  </w:style>
  <w:style w:type="character" w:customStyle="1" w:styleId="content">
    <w:name w:val="content"/>
    <w:basedOn w:val="DefaultParagraphFont"/>
    <w:rsid w:val="002E6E9E"/>
  </w:style>
  <w:style w:type="paragraph" w:styleId="Revision">
    <w:name w:val="Revision"/>
    <w:hidden/>
    <w:uiPriority w:val="99"/>
    <w:semiHidden/>
    <w:rsid w:val="00076E73"/>
    <w:rPr>
      <w:sz w:val="24"/>
      <w:szCs w:val="24"/>
    </w:rPr>
  </w:style>
  <w:style w:type="character" w:customStyle="1" w:styleId="BodyTextChar">
    <w:name w:val="Body Text Char"/>
    <w:basedOn w:val="DefaultParagraphFont"/>
    <w:link w:val="BodyText"/>
    <w:rsid w:val="00A44B9D"/>
    <w:rPr>
      <w:sz w:val="24"/>
      <w:szCs w:val="24"/>
    </w:rPr>
  </w:style>
  <w:style w:type="character" w:customStyle="1" w:styleId="BodyTextIndentChar">
    <w:name w:val="Body Text Indent Char"/>
    <w:basedOn w:val="DefaultParagraphFont"/>
    <w:link w:val="BodyTextIndent"/>
    <w:rsid w:val="00A44B9D"/>
    <w:rPr>
      <w:sz w:val="26"/>
    </w:rPr>
  </w:style>
  <w:style w:type="paragraph" w:customStyle="1" w:styleId="BasicParagraph">
    <w:name w:val="[Basic Paragraph]"/>
    <w:basedOn w:val="Normal"/>
    <w:uiPriority w:val="99"/>
    <w:rsid w:val="00DD6CB0"/>
    <w:pPr>
      <w:autoSpaceDE w:val="0"/>
      <w:autoSpaceDN w:val="0"/>
      <w:adjustRightInd w:val="0"/>
      <w:spacing w:line="288" w:lineRule="auto"/>
      <w:textAlignment w:val="center"/>
    </w:pPr>
    <w:rPr>
      <w:rFonts w:ascii="MinionPro-Regular" w:eastAsia="Calibri" w:hAnsi="MinionPro-Regular" w:cs="MinionPro-Regular"/>
      <w:color w:val="000000"/>
    </w:rPr>
  </w:style>
  <w:style w:type="paragraph" w:customStyle="1" w:styleId="BodyTextNoIndent">
    <w:name w:val="Body Text No Indent"/>
    <w:basedOn w:val="Normal"/>
    <w:uiPriority w:val="99"/>
    <w:rsid w:val="006C79BD"/>
    <w:pPr>
      <w:autoSpaceDE w:val="0"/>
      <w:autoSpaceDN w:val="0"/>
      <w:adjustRightInd w:val="0"/>
      <w:spacing w:after="120" w:line="280" w:lineRule="atLeast"/>
      <w:jc w:val="both"/>
      <w:textAlignment w:val="center"/>
    </w:pPr>
    <w:rPr>
      <w:rFonts w:ascii="Arial" w:eastAsia="Calibri" w:hAnsi="Arial" w:cs="Arial"/>
      <w:color w:val="000000"/>
      <w:sz w:val="20"/>
      <w:szCs w:val="20"/>
    </w:rPr>
  </w:style>
  <w:style w:type="paragraph" w:customStyle="1" w:styleId="GreyHeading2StyleGroup1">
    <w:name w:val="Grey Heading 2 (Style Group 1)"/>
    <w:basedOn w:val="Normal"/>
    <w:uiPriority w:val="99"/>
    <w:rsid w:val="006C79BD"/>
    <w:pPr>
      <w:autoSpaceDE w:val="0"/>
      <w:autoSpaceDN w:val="0"/>
      <w:adjustRightInd w:val="0"/>
      <w:spacing w:after="120" w:line="280" w:lineRule="atLeast"/>
      <w:jc w:val="both"/>
      <w:textAlignment w:val="center"/>
    </w:pPr>
    <w:rPr>
      <w:rFonts w:ascii="Arial" w:eastAsia="Calibri" w:hAnsi="Arial" w:cs="Arial"/>
      <w:b/>
      <w:bCs/>
      <w:color w:val="000000"/>
      <w:sz w:val="20"/>
      <w:szCs w:val="20"/>
    </w:rPr>
  </w:style>
  <w:style w:type="paragraph" w:customStyle="1" w:styleId="BodyTextwithIndent">
    <w:name w:val="Body Text with Indent"/>
    <w:basedOn w:val="Normal"/>
    <w:uiPriority w:val="99"/>
    <w:rsid w:val="006C79BD"/>
    <w:pPr>
      <w:autoSpaceDE w:val="0"/>
      <w:autoSpaceDN w:val="0"/>
      <w:adjustRightInd w:val="0"/>
      <w:spacing w:after="120" w:line="280" w:lineRule="atLeast"/>
      <w:ind w:firstLine="360"/>
      <w:jc w:val="both"/>
      <w:textAlignment w:val="center"/>
    </w:pPr>
    <w:rPr>
      <w:rFonts w:ascii="Arial" w:eastAsia="Calibri" w:hAnsi="Arial" w:cs="Arial"/>
      <w:color w:val="000000"/>
      <w:sz w:val="20"/>
      <w:szCs w:val="20"/>
    </w:rPr>
  </w:style>
  <w:style w:type="paragraph" w:customStyle="1" w:styleId="Default">
    <w:name w:val="Default"/>
    <w:rsid w:val="006C79BD"/>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bodytextwithindent0">
    <w:name w:val="bodytextwithindent"/>
    <w:basedOn w:val="Normal"/>
    <w:rsid w:val="006C79BD"/>
    <w:pPr>
      <w:autoSpaceDE w:val="0"/>
      <w:autoSpaceDN w:val="0"/>
      <w:spacing w:after="120" w:line="280" w:lineRule="atLeast"/>
      <w:ind w:firstLine="360"/>
      <w:jc w:val="both"/>
    </w:pPr>
    <w:rPr>
      <w:rFonts w:ascii="Arial" w:eastAsiaTheme="minorHAnsi" w:hAnsi="Arial" w:cs="Arial"/>
      <w:color w:val="000000"/>
      <w:sz w:val="20"/>
      <w:szCs w:val="20"/>
    </w:rPr>
  </w:style>
  <w:style w:type="character" w:customStyle="1" w:styleId="Heading6Char">
    <w:name w:val="Heading 6 Char"/>
    <w:basedOn w:val="DefaultParagraphFont"/>
    <w:link w:val="Heading6"/>
    <w:semiHidden/>
    <w:rsid w:val="00D02D79"/>
    <w:rPr>
      <w:rFonts w:asciiTheme="majorHAnsi" w:eastAsiaTheme="majorEastAsia" w:hAnsiTheme="majorHAnsi" w:cstheme="majorBidi"/>
      <w:i/>
      <w:iCs/>
      <w:color w:val="243F60" w:themeColor="accent1" w:themeShade="7F"/>
      <w:sz w:val="24"/>
      <w:szCs w:val="24"/>
    </w:rPr>
  </w:style>
  <w:style w:type="character" w:customStyle="1" w:styleId="ekflexmenuaccessiblesubmenuselectedmessage">
    <w:name w:val="ekflexmenu_accessible_submenu_selected_message"/>
    <w:basedOn w:val="DefaultParagraphFont"/>
    <w:rsid w:val="00D02D79"/>
  </w:style>
  <w:style w:type="character" w:customStyle="1" w:styleId="ekflexmenuaccessiblemenuitemselectedmessage">
    <w:name w:val="ekflexmenu_accessible_menuitem_selected_message"/>
    <w:basedOn w:val="DefaultParagraphFont"/>
    <w:rsid w:val="00D02D79"/>
  </w:style>
  <w:style w:type="character" w:customStyle="1" w:styleId="A1">
    <w:name w:val="A1"/>
    <w:uiPriority w:val="99"/>
    <w:rsid w:val="0039557A"/>
    <w:rPr>
      <w:color w:val="221E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6820">
      <w:bodyDiv w:val="1"/>
      <w:marLeft w:val="0"/>
      <w:marRight w:val="0"/>
      <w:marTop w:val="0"/>
      <w:marBottom w:val="0"/>
      <w:divBdr>
        <w:top w:val="none" w:sz="0" w:space="0" w:color="auto"/>
        <w:left w:val="none" w:sz="0" w:space="0" w:color="auto"/>
        <w:bottom w:val="none" w:sz="0" w:space="0" w:color="auto"/>
        <w:right w:val="none" w:sz="0" w:space="0" w:color="auto"/>
      </w:divBdr>
    </w:div>
    <w:div w:id="113526135">
      <w:bodyDiv w:val="1"/>
      <w:marLeft w:val="0"/>
      <w:marRight w:val="0"/>
      <w:marTop w:val="0"/>
      <w:marBottom w:val="0"/>
      <w:divBdr>
        <w:top w:val="none" w:sz="0" w:space="0" w:color="auto"/>
        <w:left w:val="none" w:sz="0" w:space="0" w:color="auto"/>
        <w:bottom w:val="none" w:sz="0" w:space="0" w:color="auto"/>
        <w:right w:val="none" w:sz="0" w:space="0" w:color="auto"/>
      </w:divBdr>
    </w:div>
    <w:div w:id="119157035">
      <w:bodyDiv w:val="1"/>
      <w:marLeft w:val="0"/>
      <w:marRight w:val="0"/>
      <w:marTop w:val="0"/>
      <w:marBottom w:val="0"/>
      <w:divBdr>
        <w:top w:val="none" w:sz="0" w:space="0" w:color="auto"/>
        <w:left w:val="none" w:sz="0" w:space="0" w:color="auto"/>
        <w:bottom w:val="none" w:sz="0" w:space="0" w:color="auto"/>
        <w:right w:val="none" w:sz="0" w:space="0" w:color="auto"/>
      </w:divBdr>
    </w:div>
    <w:div w:id="127363098">
      <w:bodyDiv w:val="1"/>
      <w:marLeft w:val="0"/>
      <w:marRight w:val="0"/>
      <w:marTop w:val="0"/>
      <w:marBottom w:val="0"/>
      <w:divBdr>
        <w:top w:val="none" w:sz="0" w:space="0" w:color="auto"/>
        <w:left w:val="none" w:sz="0" w:space="0" w:color="auto"/>
        <w:bottom w:val="none" w:sz="0" w:space="0" w:color="auto"/>
        <w:right w:val="none" w:sz="0" w:space="0" w:color="auto"/>
      </w:divBdr>
    </w:div>
    <w:div w:id="165023603">
      <w:bodyDiv w:val="1"/>
      <w:marLeft w:val="0"/>
      <w:marRight w:val="0"/>
      <w:marTop w:val="0"/>
      <w:marBottom w:val="0"/>
      <w:divBdr>
        <w:top w:val="none" w:sz="0" w:space="0" w:color="auto"/>
        <w:left w:val="none" w:sz="0" w:space="0" w:color="auto"/>
        <w:bottom w:val="none" w:sz="0" w:space="0" w:color="auto"/>
        <w:right w:val="none" w:sz="0" w:space="0" w:color="auto"/>
      </w:divBdr>
    </w:div>
    <w:div w:id="216288046">
      <w:bodyDiv w:val="1"/>
      <w:marLeft w:val="0"/>
      <w:marRight w:val="0"/>
      <w:marTop w:val="0"/>
      <w:marBottom w:val="0"/>
      <w:divBdr>
        <w:top w:val="none" w:sz="0" w:space="0" w:color="auto"/>
        <w:left w:val="none" w:sz="0" w:space="0" w:color="auto"/>
        <w:bottom w:val="none" w:sz="0" w:space="0" w:color="auto"/>
        <w:right w:val="none" w:sz="0" w:space="0" w:color="auto"/>
      </w:divBdr>
    </w:div>
    <w:div w:id="216740712">
      <w:bodyDiv w:val="1"/>
      <w:marLeft w:val="0"/>
      <w:marRight w:val="0"/>
      <w:marTop w:val="0"/>
      <w:marBottom w:val="0"/>
      <w:divBdr>
        <w:top w:val="none" w:sz="0" w:space="0" w:color="auto"/>
        <w:left w:val="none" w:sz="0" w:space="0" w:color="auto"/>
        <w:bottom w:val="none" w:sz="0" w:space="0" w:color="auto"/>
        <w:right w:val="none" w:sz="0" w:space="0" w:color="auto"/>
      </w:divBdr>
    </w:div>
    <w:div w:id="275987523">
      <w:bodyDiv w:val="1"/>
      <w:marLeft w:val="0"/>
      <w:marRight w:val="0"/>
      <w:marTop w:val="0"/>
      <w:marBottom w:val="0"/>
      <w:divBdr>
        <w:top w:val="none" w:sz="0" w:space="0" w:color="auto"/>
        <w:left w:val="none" w:sz="0" w:space="0" w:color="auto"/>
        <w:bottom w:val="none" w:sz="0" w:space="0" w:color="auto"/>
        <w:right w:val="none" w:sz="0" w:space="0" w:color="auto"/>
      </w:divBdr>
    </w:div>
    <w:div w:id="283460961">
      <w:bodyDiv w:val="1"/>
      <w:marLeft w:val="0"/>
      <w:marRight w:val="0"/>
      <w:marTop w:val="0"/>
      <w:marBottom w:val="0"/>
      <w:divBdr>
        <w:top w:val="none" w:sz="0" w:space="0" w:color="auto"/>
        <w:left w:val="none" w:sz="0" w:space="0" w:color="auto"/>
        <w:bottom w:val="none" w:sz="0" w:space="0" w:color="auto"/>
        <w:right w:val="none" w:sz="0" w:space="0" w:color="auto"/>
      </w:divBdr>
    </w:div>
    <w:div w:id="284502012">
      <w:bodyDiv w:val="1"/>
      <w:marLeft w:val="0"/>
      <w:marRight w:val="0"/>
      <w:marTop w:val="0"/>
      <w:marBottom w:val="0"/>
      <w:divBdr>
        <w:top w:val="none" w:sz="0" w:space="0" w:color="auto"/>
        <w:left w:val="none" w:sz="0" w:space="0" w:color="auto"/>
        <w:bottom w:val="none" w:sz="0" w:space="0" w:color="auto"/>
        <w:right w:val="none" w:sz="0" w:space="0" w:color="auto"/>
      </w:divBdr>
    </w:div>
    <w:div w:id="301083447">
      <w:bodyDiv w:val="1"/>
      <w:marLeft w:val="0"/>
      <w:marRight w:val="0"/>
      <w:marTop w:val="0"/>
      <w:marBottom w:val="0"/>
      <w:divBdr>
        <w:top w:val="none" w:sz="0" w:space="0" w:color="auto"/>
        <w:left w:val="none" w:sz="0" w:space="0" w:color="auto"/>
        <w:bottom w:val="none" w:sz="0" w:space="0" w:color="auto"/>
        <w:right w:val="none" w:sz="0" w:space="0" w:color="auto"/>
      </w:divBdr>
    </w:div>
    <w:div w:id="321929983">
      <w:bodyDiv w:val="1"/>
      <w:marLeft w:val="0"/>
      <w:marRight w:val="0"/>
      <w:marTop w:val="0"/>
      <w:marBottom w:val="0"/>
      <w:divBdr>
        <w:top w:val="none" w:sz="0" w:space="0" w:color="auto"/>
        <w:left w:val="none" w:sz="0" w:space="0" w:color="auto"/>
        <w:bottom w:val="none" w:sz="0" w:space="0" w:color="auto"/>
        <w:right w:val="none" w:sz="0" w:space="0" w:color="auto"/>
      </w:divBdr>
    </w:div>
    <w:div w:id="343634980">
      <w:bodyDiv w:val="1"/>
      <w:marLeft w:val="0"/>
      <w:marRight w:val="0"/>
      <w:marTop w:val="75"/>
      <w:marBottom w:val="0"/>
      <w:divBdr>
        <w:top w:val="none" w:sz="0" w:space="0" w:color="auto"/>
        <w:left w:val="none" w:sz="0" w:space="0" w:color="auto"/>
        <w:bottom w:val="none" w:sz="0" w:space="0" w:color="auto"/>
        <w:right w:val="none" w:sz="0" w:space="0" w:color="auto"/>
      </w:divBdr>
      <w:divsChild>
        <w:div w:id="736706305">
          <w:marLeft w:val="0"/>
          <w:marRight w:val="0"/>
          <w:marTop w:val="0"/>
          <w:marBottom w:val="0"/>
          <w:divBdr>
            <w:top w:val="none" w:sz="0" w:space="0" w:color="auto"/>
            <w:left w:val="none" w:sz="0" w:space="0" w:color="auto"/>
            <w:bottom w:val="none" w:sz="0" w:space="0" w:color="auto"/>
            <w:right w:val="none" w:sz="0" w:space="0" w:color="auto"/>
          </w:divBdr>
          <w:divsChild>
            <w:div w:id="1827239732">
              <w:marLeft w:val="0"/>
              <w:marRight w:val="0"/>
              <w:marTop w:val="0"/>
              <w:marBottom w:val="0"/>
              <w:divBdr>
                <w:top w:val="none" w:sz="0" w:space="0" w:color="auto"/>
                <w:left w:val="none" w:sz="0" w:space="0" w:color="auto"/>
                <w:bottom w:val="none" w:sz="0" w:space="0" w:color="auto"/>
                <w:right w:val="none" w:sz="0" w:space="0" w:color="auto"/>
              </w:divBdr>
              <w:divsChild>
                <w:div w:id="829179601">
                  <w:marLeft w:val="0"/>
                  <w:marRight w:val="0"/>
                  <w:marTop w:val="0"/>
                  <w:marBottom w:val="0"/>
                  <w:divBdr>
                    <w:top w:val="none" w:sz="0" w:space="0" w:color="auto"/>
                    <w:left w:val="none" w:sz="0" w:space="0" w:color="auto"/>
                    <w:bottom w:val="none" w:sz="0" w:space="0" w:color="auto"/>
                    <w:right w:val="none" w:sz="0" w:space="0" w:color="auto"/>
                  </w:divBdr>
                  <w:divsChild>
                    <w:div w:id="672687242">
                      <w:marLeft w:val="0"/>
                      <w:marRight w:val="0"/>
                      <w:marTop w:val="0"/>
                      <w:marBottom w:val="0"/>
                      <w:divBdr>
                        <w:top w:val="none" w:sz="0" w:space="0" w:color="auto"/>
                        <w:left w:val="none" w:sz="0" w:space="0" w:color="auto"/>
                        <w:bottom w:val="none" w:sz="0" w:space="0" w:color="auto"/>
                        <w:right w:val="none" w:sz="0" w:space="0" w:color="auto"/>
                      </w:divBdr>
                      <w:divsChild>
                        <w:div w:id="905147248">
                          <w:marLeft w:val="0"/>
                          <w:marRight w:val="0"/>
                          <w:marTop w:val="0"/>
                          <w:marBottom w:val="0"/>
                          <w:divBdr>
                            <w:top w:val="none" w:sz="0" w:space="0" w:color="auto"/>
                            <w:left w:val="none" w:sz="0" w:space="0" w:color="auto"/>
                            <w:bottom w:val="none" w:sz="0" w:space="0" w:color="auto"/>
                            <w:right w:val="none" w:sz="0" w:space="0" w:color="auto"/>
                          </w:divBdr>
                          <w:divsChild>
                            <w:div w:id="1936858149">
                              <w:marLeft w:val="0"/>
                              <w:marRight w:val="0"/>
                              <w:marTop w:val="0"/>
                              <w:marBottom w:val="0"/>
                              <w:divBdr>
                                <w:top w:val="none" w:sz="0" w:space="0" w:color="auto"/>
                                <w:left w:val="none" w:sz="0" w:space="0" w:color="auto"/>
                                <w:bottom w:val="none" w:sz="0" w:space="0" w:color="auto"/>
                                <w:right w:val="none" w:sz="0" w:space="0" w:color="auto"/>
                              </w:divBdr>
                              <w:divsChild>
                                <w:div w:id="1713845291">
                                  <w:marLeft w:val="0"/>
                                  <w:marRight w:val="0"/>
                                  <w:marTop w:val="0"/>
                                  <w:marBottom w:val="0"/>
                                  <w:divBdr>
                                    <w:top w:val="none" w:sz="0" w:space="0" w:color="auto"/>
                                    <w:left w:val="none" w:sz="0" w:space="0" w:color="auto"/>
                                    <w:bottom w:val="none" w:sz="0" w:space="0" w:color="auto"/>
                                    <w:right w:val="none" w:sz="0" w:space="0" w:color="auto"/>
                                  </w:divBdr>
                                  <w:divsChild>
                                    <w:div w:id="1857302527">
                                      <w:marLeft w:val="0"/>
                                      <w:marRight w:val="0"/>
                                      <w:marTop w:val="0"/>
                                      <w:marBottom w:val="0"/>
                                      <w:divBdr>
                                        <w:top w:val="none" w:sz="0" w:space="0" w:color="auto"/>
                                        <w:left w:val="none" w:sz="0" w:space="0" w:color="auto"/>
                                        <w:bottom w:val="none" w:sz="0" w:space="0" w:color="auto"/>
                                        <w:right w:val="none" w:sz="0" w:space="0" w:color="auto"/>
                                      </w:divBdr>
                                      <w:divsChild>
                                        <w:div w:id="1184589644">
                                          <w:marLeft w:val="0"/>
                                          <w:marRight w:val="0"/>
                                          <w:marTop w:val="0"/>
                                          <w:marBottom w:val="0"/>
                                          <w:divBdr>
                                            <w:top w:val="none" w:sz="0" w:space="0" w:color="auto"/>
                                            <w:left w:val="none" w:sz="0" w:space="0" w:color="auto"/>
                                            <w:bottom w:val="none" w:sz="0" w:space="0" w:color="auto"/>
                                            <w:right w:val="none" w:sz="0" w:space="0" w:color="auto"/>
                                          </w:divBdr>
                                          <w:divsChild>
                                            <w:div w:id="302541997">
                                              <w:marLeft w:val="0"/>
                                              <w:marRight w:val="0"/>
                                              <w:marTop w:val="0"/>
                                              <w:marBottom w:val="0"/>
                                              <w:divBdr>
                                                <w:top w:val="none" w:sz="0" w:space="0" w:color="auto"/>
                                                <w:left w:val="none" w:sz="0" w:space="0" w:color="auto"/>
                                                <w:bottom w:val="none" w:sz="0" w:space="0" w:color="auto"/>
                                                <w:right w:val="none" w:sz="0" w:space="0" w:color="auto"/>
                                              </w:divBdr>
                                              <w:divsChild>
                                                <w:div w:id="21025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4747948">
      <w:bodyDiv w:val="1"/>
      <w:marLeft w:val="0"/>
      <w:marRight w:val="0"/>
      <w:marTop w:val="0"/>
      <w:marBottom w:val="0"/>
      <w:divBdr>
        <w:top w:val="none" w:sz="0" w:space="0" w:color="auto"/>
        <w:left w:val="none" w:sz="0" w:space="0" w:color="auto"/>
        <w:bottom w:val="none" w:sz="0" w:space="0" w:color="auto"/>
        <w:right w:val="none" w:sz="0" w:space="0" w:color="auto"/>
      </w:divBdr>
    </w:div>
    <w:div w:id="368916149">
      <w:bodyDiv w:val="1"/>
      <w:marLeft w:val="0"/>
      <w:marRight w:val="0"/>
      <w:marTop w:val="0"/>
      <w:marBottom w:val="0"/>
      <w:divBdr>
        <w:top w:val="none" w:sz="0" w:space="0" w:color="auto"/>
        <w:left w:val="none" w:sz="0" w:space="0" w:color="auto"/>
        <w:bottom w:val="none" w:sz="0" w:space="0" w:color="auto"/>
        <w:right w:val="none" w:sz="0" w:space="0" w:color="auto"/>
      </w:divBdr>
    </w:div>
    <w:div w:id="375469649">
      <w:bodyDiv w:val="1"/>
      <w:marLeft w:val="0"/>
      <w:marRight w:val="0"/>
      <w:marTop w:val="75"/>
      <w:marBottom w:val="0"/>
      <w:divBdr>
        <w:top w:val="none" w:sz="0" w:space="0" w:color="auto"/>
        <w:left w:val="none" w:sz="0" w:space="0" w:color="auto"/>
        <w:bottom w:val="none" w:sz="0" w:space="0" w:color="auto"/>
        <w:right w:val="none" w:sz="0" w:space="0" w:color="auto"/>
      </w:divBdr>
      <w:divsChild>
        <w:div w:id="746536441">
          <w:marLeft w:val="0"/>
          <w:marRight w:val="0"/>
          <w:marTop w:val="0"/>
          <w:marBottom w:val="0"/>
          <w:divBdr>
            <w:top w:val="none" w:sz="0" w:space="0" w:color="auto"/>
            <w:left w:val="none" w:sz="0" w:space="0" w:color="auto"/>
            <w:bottom w:val="none" w:sz="0" w:space="0" w:color="auto"/>
            <w:right w:val="none" w:sz="0" w:space="0" w:color="auto"/>
          </w:divBdr>
          <w:divsChild>
            <w:div w:id="700322378">
              <w:marLeft w:val="0"/>
              <w:marRight w:val="0"/>
              <w:marTop w:val="0"/>
              <w:marBottom w:val="0"/>
              <w:divBdr>
                <w:top w:val="none" w:sz="0" w:space="0" w:color="auto"/>
                <w:left w:val="none" w:sz="0" w:space="0" w:color="auto"/>
                <w:bottom w:val="none" w:sz="0" w:space="0" w:color="auto"/>
                <w:right w:val="none" w:sz="0" w:space="0" w:color="auto"/>
              </w:divBdr>
              <w:divsChild>
                <w:div w:id="1016267083">
                  <w:marLeft w:val="0"/>
                  <w:marRight w:val="0"/>
                  <w:marTop w:val="0"/>
                  <w:marBottom w:val="0"/>
                  <w:divBdr>
                    <w:top w:val="none" w:sz="0" w:space="0" w:color="auto"/>
                    <w:left w:val="none" w:sz="0" w:space="0" w:color="auto"/>
                    <w:bottom w:val="none" w:sz="0" w:space="0" w:color="auto"/>
                    <w:right w:val="none" w:sz="0" w:space="0" w:color="auto"/>
                  </w:divBdr>
                  <w:divsChild>
                    <w:div w:id="67963372">
                      <w:marLeft w:val="0"/>
                      <w:marRight w:val="0"/>
                      <w:marTop w:val="0"/>
                      <w:marBottom w:val="0"/>
                      <w:divBdr>
                        <w:top w:val="none" w:sz="0" w:space="0" w:color="auto"/>
                        <w:left w:val="none" w:sz="0" w:space="0" w:color="auto"/>
                        <w:bottom w:val="none" w:sz="0" w:space="0" w:color="auto"/>
                        <w:right w:val="none" w:sz="0" w:space="0" w:color="auto"/>
                      </w:divBdr>
                      <w:divsChild>
                        <w:div w:id="2087416890">
                          <w:marLeft w:val="0"/>
                          <w:marRight w:val="0"/>
                          <w:marTop w:val="0"/>
                          <w:marBottom w:val="0"/>
                          <w:divBdr>
                            <w:top w:val="none" w:sz="0" w:space="0" w:color="auto"/>
                            <w:left w:val="none" w:sz="0" w:space="0" w:color="auto"/>
                            <w:bottom w:val="none" w:sz="0" w:space="0" w:color="auto"/>
                            <w:right w:val="none" w:sz="0" w:space="0" w:color="auto"/>
                          </w:divBdr>
                          <w:divsChild>
                            <w:div w:id="1173178870">
                              <w:marLeft w:val="0"/>
                              <w:marRight w:val="0"/>
                              <w:marTop w:val="0"/>
                              <w:marBottom w:val="0"/>
                              <w:divBdr>
                                <w:top w:val="none" w:sz="0" w:space="0" w:color="auto"/>
                                <w:left w:val="none" w:sz="0" w:space="0" w:color="auto"/>
                                <w:bottom w:val="none" w:sz="0" w:space="0" w:color="auto"/>
                                <w:right w:val="none" w:sz="0" w:space="0" w:color="auto"/>
                              </w:divBdr>
                              <w:divsChild>
                                <w:div w:id="1077245095">
                                  <w:marLeft w:val="0"/>
                                  <w:marRight w:val="0"/>
                                  <w:marTop w:val="0"/>
                                  <w:marBottom w:val="0"/>
                                  <w:divBdr>
                                    <w:top w:val="none" w:sz="0" w:space="0" w:color="auto"/>
                                    <w:left w:val="none" w:sz="0" w:space="0" w:color="auto"/>
                                    <w:bottom w:val="none" w:sz="0" w:space="0" w:color="auto"/>
                                    <w:right w:val="none" w:sz="0" w:space="0" w:color="auto"/>
                                  </w:divBdr>
                                  <w:divsChild>
                                    <w:div w:id="1565212414">
                                      <w:marLeft w:val="0"/>
                                      <w:marRight w:val="0"/>
                                      <w:marTop w:val="0"/>
                                      <w:marBottom w:val="0"/>
                                      <w:divBdr>
                                        <w:top w:val="none" w:sz="0" w:space="0" w:color="auto"/>
                                        <w:left w:val="none" w:sz="0" w:space="0" w:color="auto"/>
                                        <w:bottom w:val="none" w:sz="0" w:space="0" w:color="auto"/>
                                        <w:right w:val="none" w:sz="0" w:space="0" w:color="auto"/>
                                      </w:divBdr>
                                      <w:divsChild>
                                        <w:div w:id="15886192">
                                          <w:marLeft w:val="0"/>
                                          <w:marRight w:val="0"/>
                                          <w:marTop w:val="0"/>
                                          <w:marBottom w:val="0"/>
                                          <w:divBdr>
                                            <w:top w:val="none" w:sz="0" w:space="0" w:color="auto"/>
                                            <w:left w:val="none" w:sz="0" w:space="0" w:color="auto"/>
                                            <w:bottom w:val="none" w:sz="0" w:space="0" w:color="auto"/>
                                            <w:right w:val="none" w:sz="0" w:space="0" w:color="auto"/>
                                          </w:divBdr>
                                          <w:divsChild>
                                            <w:div w:id="987393979">
                                              <w:marLeft w:val="0"/>
                                              <w:marRight w:val="0"/>
                                              <w:marTop w:val="0"/>
                                              <w:marBottom w:val="0"/>
                                              <w:divBdr>
                                                <w:top w:val="none" w:sz="0" w:space="0" w:color="auto"/>
                                                <w:left w:val="none" w:sz="0" w:space="0" w:color="auto"/>
                                                <w:bottom w:val="none" w:sz="0" w:space="0" w:color="auto"/>
                                                <w:right w:val="none" w:sz="0" w:space="0" w:color="auto"/>
                                              </w:divBdr>
                                              <w:divsChild>
                                                <w:div w:id="93120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5661735">
      <w:bodyDiv w:val="1"/>
      <w:marLeft w:val="0"/>
      <w:marRight w:val="0"/>
      <w:marTop w:val="0"/>
      <w:marBottom w:val="0"/>
      <w:divBdr>
        <w:top w:val="none" w:sz="0" w:space="0" w:color="auto"/>
        <w:left w:val="none" w:sz="0" w:space="0" w:color="auto"/>
        <w:bottom w:val="none" w:sz="0" w:space="0" w:color="auto"/>
        <w:right w:val="none" w:sz="0" w:space="0" w:color="auto"/>
      </w:divBdr>
    </w:div>
    <w:div w:id="377165514">
      <w:bodyDiv w:val="1"/>
      <w:marLeft w:val="0"/>
      <w:marRight w:val="0"/>
      <w:marTop w:val="0"/>
      <w:marBottom w:val="0"/>
      <w:divBdr>
        <w:top w:val="none" w:sz="0" w:space="0" w:color="auto"/>
        <w:left w:val="none" w:sz="0" w:space="0" w:color="auto"/>
        <w:bottom w:val="none" w:sz="0" w:space="0" w:color="auto"/>
        <w:right w:val="none" w:sz="0" w:space="0" w:color="auto"/>
      </w:divBdr>
    </w:div>
    <w:div w:id="398552651">
      <w:bodyDiv w:val="1"/>
      <w:marLeft w:val="0"/>
      <w:marRight w:val="0"/>
      <w:marTop w:val="0"/>
      <w:marBottom w:val="0"/>
      <w:divBdr>
        <w:top w:val="none" w:sz="0" w:space="0" w:color="auto"/>
        <w:left w:val="none" w:sz="0" w:space="0" w:color="auto"/>
        <w:bottom w:val="none" w:sz="0" w:space="0" w:color="auto"/>
        <w:right w:val="none" w:sz="0" w:space="0" w:color="auto"/>
      </w:divBdr>
    </w:div>
    <w:div w:id="410087360">
      <w:bodyDiv w:val="1"/>
      <w:marLeft w:val="0"/>
      <w:marRight w:val="0"/>
      <w:marTop w:val="0"/>
      <w:marBottom w:val="0"/>
      <w:divBdr>
        <w:top w:val="none" w:sz="0" w:space="0" w:color="auto"/>
        <w:left w:val="none" w:sz="0" w:space="0" w:color="auto"/>
        <w:bottom w:val="none" w:sz="0" w:space="0" w:color="auto"/>
        <w:right w:val="none" w:sz="0" w:space="0" w:color="auto"/>
      </w:divBdr>
    </w:div>
    <w:div w:id="416291707">
      <w:bodyDiv w:val="1"/>
      <w:marLeft w:val="0"/>
      <w:marRight w:val="0"/>
      <w:marTop w:val="0"/>
      <w:marBottom w:val="0"/>
      <w:divBdr>
        <w:top w:val="none" w:sz="0" w:space="0" w:color="auto"/>
        <w:left w:val="none" w:sz="0" w:space="0" w:color="auto"/>
        <w:bottom w:val="none" w:sz="0" w:space="0" w:color="auto"/>
        <w:right w:val="none" w:sz="0" w:space="0" w:color="auto"/>
      </w:divBdr>
    </w:div>
    <w:div w:id="420376001">
      <w:bodyDiv w:val="1"/>
      <w:marLeft w:val="0"/>
      <w:marRight w:val="0"/>
      <w:marTop w:val="0"/>
      <w:marBottom w:val="0"/>
      <w:divBdr>
        <w:top w:val="none" w:sz="0" w:space="0" w:color="auto"/>
        <w:left w:val="none" w:sz="0" w:space="0" w:color="auto"/>
        <w:bottom w:val="none" w:sz="0" w:space="0" w:color="auto"/>
        <w:right w:val="none" w:sz="0" w:space="0" w:color="auto"/>
      </w:divBdr>
    </w:div>
    <w:div w:id="445849182">
      <w:bodyDiv w:val="1"/>
      <w:marLeft w:val="0"/>
      <w:marRight w:val="0"/>
      <w:marTop w:val="0"/>
      <w:marBottom w:val="0"/>
      <w:divBdr>
        <w:top w:val="none" w:sz="0" w:space="0" w:color="auto"/>
        <w:left w:val="none" w:sz="0" w:space="0" w:color="auto"/>
        <w:bottom w:val="none" w:sz="0" w:space="0" w:color="auto"/>
        <w:right w:val="none" w:sz="0" w:space="0" w:color="auto"/>
      </w:divBdr>
    </w:div>
    <w:div w:id="459955891">
      <w:bodyDiv w:val="1"/>
      <w:marLeft w:val="0"/>
      <w:marRight w:val="0"/>
      <w:marTop w:val="75"/>
      <w:marBottom w:val="0"/>
      <w:divBdr>
        <w:top w:val="none" w:sz="0" w:space="0" w:color="auto"/>
        <w:left w:val="none" w:sz="0" w:space="0" w:color="auto"/>
        <w:bottom w:val="none" w:sz="0" w:space="0" w:color="auto"/>
        <w:right w:val="none" w:sz="0" w:space="0" w:color="auto"/>
      </w:divBdr>
      <w:divsChild>
        <w:div w:id="1240139377">
          <w:marLeft w:val="0"/>
          <w:marRight w:val="0"/>
          <w:marTop w:val="0"/>
          <w:marBottom w:val="0"/>
          <w:divBdr>
            <w:top w:val="none" w:sz="0" w:space="0" w:color="auto"/>
            <w:left w:val="none" w:sz="0" w:space="0" w:color="auto"/>
            <w:bottom w:val="none" w:sz="0" w:space="0" w:color="auto"/>
            <w:right w:val="none" w:sz="0" w:space="0" w:color="auto"/>
          </w:divBdr>
          <w:divsChild>
            <w:div w:id="901796985">
              <w:marLeft w:val="0"/>
              <w:marRight w:val="0"/>
              <w:marTop w:val="0"/>
              <w:marBottom w:val="0"/>
              <w:divBdr>
                <w:top w:val="none" w:sz="0" w:space="0" w:color="auto"/>
                <w:left w:val="none" w:sz="0" w:space="0" w:color="auto"/>
                <w:bottom w:val="none" w:sz="0" w:space="0" w:color="auto"/>
                <w:right w:val="none" w:sz="0" w:space="0" w:color="auto"/>
              </w:divBdr>
              <w:divsChild>
                <w:div w:id="15808928">
                  <w:marLeft w:val="0"/>
                  <w:marRight w:val="0"/>
                  <w:marTop w:val="0"/>
                  <w:marBottom w:val="0"/>
                  <w:divBdr>
                    <w:top w:val="none" w:sz="0" w:space="0" w:color="auto"/>
                    <w:left w:val="none" w:sz="0" w:space="0" w:color="auto"/>
                    <w:bottom w:val="none" w:sz="0" w:space="0" w:color="auto"/>
                    <w:right w:val="none" w:sz="0" w:space="0" w:color="auto"/>
                  </w:divBdr>
                  <w:divsChild>
                    <w:div w:id="2111660854">
                      <w:marLeft w:val="0"/>
                      <w:marRight w:val="0"/>
                      <w:marTop w:val="0"/>
                      <w:marBottom w:val="0"/>
                      <w:divBdr>
                        <w:top w:val="none" w:sz="0" w:space="0" w:color="auto"/>
                        <w:left w:val="none" w:sz="0" w:space="0" w:color="auto"/>
                        <w:bottom w:val="none" w:sz="0" w:space="0" w:color="auto"/>
                        <w:right w:val="none" w:sz="0" w:space="0" w:color="auto"/>
                      </w:divBdr>
                      <w:divsChild>
                        <w:div w:id="1873346757">
                          <w:marLeft w:val="0"/>
                          <w:marRight w:val="0"/>
                          <w:marTop w:val="0"/>
                          <w:marBottom w:val="0"/>
                          <w:divBdr>
                            <w:top w:val="none" w:sz="0" w:space="0" w:color="auto"/>
                            <w:left w:val="none" w:sz="0" w:space="0" w:color="auto"/>
                            <w:bottom w:val="none" w:sz="0" w:space="0" w:color="auto"/>
                            <w:right w:val="none" w:sz="0" w:space="0" w:color="auto"/>
                          </w:divBdr>
                        </w:div>
                      </w:divsChild>
                    </w:div>
                    <w:div w:id="976059984">
                      <w:marLeft w:val="540"/>
                      <w:marRight w:val="0"/>
                      <w:marTop w:val="0"/>
                      <w:marBottom w:val="0"/>
                      <w:divBdr>
                        <w:top w:val="none" w:sz="0" w:space="0" w:color="auto"/>
                        <w:left w:val="none" w:sz="0" w:space="0" w:color="auto"/>
                        <w:bottom w:val="none" w:sz="0" w:space="0" w:color="auto"/>
                        <w:right w:val="none" w:sz="0" w:space="0" w:color="auto"/>
                      </w:divBdr>
                      <w:divsChild>
                        <w:div w:id="1279410762">
                          <w:marLeft w:val="0"/>
                          <w:marRight w:val="0"/>
                          <w:marTop w:val="0"/>
                          <w:marBottom w:val="0"/>
                          <w:divBdr>
                            <w:top w:val="none" w:sz="0" w:space="0" w:color="auto"/>
                            <w:left w:val="none" w:sz="0" w:space="0" w:color="auto"/>
                            <w:bottom w:val="none" w:sz="0" w:space="0" w:color="auto"/>
                            <w:right w:val="none" w:sz="0" w:space="0" w:color="auto"/>
                          </w:divBdr>
                          <w:divsChild>
                            <w:div w:id="672027536">
                              <w:marLeft w:val="0"/>
                              <w:marRight w:val="0"/>
                              <w:marTop w:val="0"/>
                              <w:marBottom w:val="0"/>
                              <w:divBdr>
                                <w:top w:val="none" w:sz="0" w:space="0" w:color="auto"/>
                                <w:left w:val="none" w:sz="0" w:space="0" w:color="auto"/>
                                <w:bottom w:val="none" w:sz="0" w:space="0" w:color="auto"/>
                                <w:right w:val="none" w:sz="0" w:space="0" w:color="auto"/>
                              </w:divBdr>
                              <w:divsChild>
                                <w:div w:id="619797485">
                                  <w:marLeft w:val="15"/>
                                  <w:marRight w:val="0"/>
                                  <w:marTop w:val="0"/>
                                  <w:marBottom w:val="0"/>
                                  <w:divBdr>
                                    <w:top w:val="none" w:sz="0" w:space="0" w:color="auto"/>
                                    <w:left w:val="none" w:sz="0" w:space="0" w:color="auto"/>
                                    <w:bottom w:val="none" w:sz="0" w:space="0" w:color="auto"/>
                                    <w:right w:val="none" w:sz="0" w:space="0" w:color="auto"/>
                                  </w:divBdr>
                                  <w:divsChild>
                                    <w:div w:id="1100905838">
                                      <w:marLeft w:val="0"/>
                                      <w:marRight w:val="0"/>
                                      <w:marTop w:val="0"/>
                                      <w:marBottom w:val="0"/>
                                      <w:divBdr>
                                        <w:top w:val="none" w:sz="0" w:space="0" w:color="auto"/>
                                        <w:left w:val="none" w:sz="0" w:space="0" w:color="auto"/>
                                        <w:bottom w:val="none" w:sz="0" w:space="0" w:color="auto"/>
                                        <w:right w:val="none" w:sz="0" w:space="0" w:color="auto"/>
                                      </w:divBdr>
                                    </w:div>
                                    <w:div w:id="79101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8982649">
      <w:bodyDiv w:val="1"/>
      <w:marLeft w:val="0"/>
      <w:marRight w:val="0"/>
      <w:marTop w:val="0"/>
      <w:marBottom w:val="0"/>
      <w:divBdr>
        <w:top w:val="none" w:sz="0" w:space="0" w:color="auto"/>
        <w:left w:val="none" w:sz="0" w:space="0" w:color="auto"/>
        <w:bottom w:val="none" w:sz="0" w:space="0" w:color="auto"/>
        <w:right w:val="none" w:sz="0" w:space="0" w:color="auto"/>
      </w:divBdr>
    </w:div>
    <w:div w:id="472329370">
      <w:bodyDiv w:val="1"/>
      <w:marLeft w:val="0"/>
      <w:marRight w:val="0"/>
      <w:marTop w:val="0"/>
      <w:marBottom w:val="0"/>
      <w:divBdr>
        <w:top w:val="none" w:sz="0" w:space="0" w:color="auto"/>
        <w:left w:val="none" w:sz="0" w:space="0" w:color="auto"/>
        <w:bottom w:val="none" w:sz="0" w:space="0" w:color="auto"/>
        <w:right w:val="none" w:sz="0" w:space="0" w:color="auto"/>
      </w:divBdr>
    </w:div>
    <w:div w:id="484904690">
      <w:bodyDiv w:val="1"/>
      <w:marLeft w:val="0"/>
      <w:marRight w:val="0"/>
      <w:marTop w:val="0"/>
      <w:marBottom w:val="0"/>
      <w:divBdr>
        <w:top w:val="none" w:sz="0" w:space="0" w:color="auto"/>
        <w:left w:val="none" w:sz="0" w:space="0" w:color="auto"/>
        <w:bottom w:val="none" w:sz="0" w:space="0" w:color="auto"/>
        <w:right w:val="none" w:sz="0" w:space="0" w:color="auto"/>
      </w:divBdr>
    </w:div>
    <w:div w:id="503908334">
      <w:bodyDiv w:val="1"/>
      <w:marLeft w:val="0"/>
      <w:marRight w:val="0"/>
      <w:marTop w:val="0"/>
      <w:marBottom w:val="0"/>
      <w:divBdr>
        <w:top w:val="none" w:sz="0" w:space="0" w:color="auto"/>
        <w:left w:val="none" w:sz="0" w:space="0" w:color="auto"/>
        <w:bottom w:val="none" w:sz="0" w:space="0" w:color="auto"/>
        <w:right w:val="none" w:sz="0" w:space="0" w:color="auto"/>
      </w:divBdr>
    </w:div>
    <w:div w:id="518275887">
      <w:bodyDiv w:val="1"/>
      <w:marLeft w:val="0"/>
      <w:marRight w:val="0"/>
      <w:marTop w:val="0"/>
      <w:marBottom w:val="0"/>
      <w:divBdr>
        <w:top w:val="none" w:sz="0" w:space="0" w:color="auto"/>
        <w:left w:val="none" w:sz="0" w:space="0" w:color="auto"/>
        <w:bottom w:val="none" w:sz="0" w:space="0" w:color="auto"/>
        <w:right w:val="none" w:sz="0" w:space="0" w:color="auto"/>
      </w:divBdr>
    </w:div>
    <w:div w:id="525678681">
      <w:bodyDiv w:val="1"/>
      <w:marLeft w:val="0"/>
      <w:marRight w:val="0"/>
      <w:marTop w:val="0"/>
      <w:marBottom w:val="0"/>
      <w:divBdr>
        <w:top w:val="none" w:sz="0" w:space="0" w:color="auto"/>
        <w:left w:val="none" w:sz="0" w:space="0" w:color="auto"/>
        <w:bottom w:val="none" w:sz="0" w:space="0" w:color="auto"/>
        <w:right w:val="none" w:sz="0" w:space="0" w:color="auto"/>
      </w:divBdr>
    </w:div>
    <w:div w:id="586109394">
      <w:bodyDiv w:val="1"/>
      <w:marLeft w:val="0"/>
      <w:marRight w:val="0"/>
      <w:marTop w:val="0"/>
      <w:marBottom w:val="0"/>
      <w:divBdr>
        <w:top w:val="none" w:sz="0" w:space="0" w:color="auto"/>
        <w:left w:val="none" w:sz="0" w:space="0" w:color="auto"/>
        <w:bottom w:val="none" w:sz="0" w:space="0" w:color="auto"/>
        <w:right w:val="none" w:sz="0" w:space="0" w:color="auto"/>
      </w:divBdr>
    </w:div>
    <w:div w:id="729690436">
      <w:bodyDiv w:val="1"/>
      <w:marLeft w:val="0"/>
      <w:marRight w:val="0"/>
      <w:marTop w:val="0"/>
      <w:marBottom w:val="0"/>
      <w:divBdr>
        <w:top w:val="none" w:sz="0" w:space="0" w:color="auto"/>
        <w:left w:val="none" w:sz="0" w:space="0" w:color="auto"/>
        <w:bottom w:val="none" w:sz="0" w:space="0" w:color="auto"/>
        <w:right w:val="none" w:sz="0" w:space="0" w:color="auto"/>
      </w:divBdr>
    </w:div>
    <w:div w:id="757099315">
      <w:bodyDiv w:val="1"/>
      <w:marLeft w:val="0"/>
      <w:marRight w:val="0"/>
      <w:marTop w:val="0"/>
      <w:marBottom w:val="0"/>
      <w:divBdr>
        <w:top w:val="none" w:sz="0" w:space="0" w:color="auto"/>
        <w:left w:val="none" w:sz="0" w:space="0" w:color="auto"/>
        <w:bottom w:val="none" w:sz="0" w:space="0" w:color="auto"/>
        <w:right w:val="none" w:sz="0" w:space="0" w:color="auto"/>
      </w:divBdr>
    </w:div>
    <w:div w:id="767195753">
      <w:bodyDiv w:val="1"/>
      <w:marLeft w:val="0"/>
      <w:marRight w:val="0"/>
      <w:marTop w:val="0"/>
      <w:marBottom w:val="0"/>
      <w:divBdr>
        <w:top w:val="none" w:sz="0" w:space="0" w:color="auto"/>
        <w:left w:val="none" w:sz="0" w:space="0" w:color="auto"/>
        <w:bottom w:val="none" w:sz="0" w:space="0" w:color="auto"/>
        <w:right w:val="none" w:sz="0" w:space="0" w:color="auto"/>
      </w:divBdr>
    </w:div>
    <w:div w:id="778374934">
      <w:bodyDiv w:val="1"/>
      <w:marLeft w:val="0"/>
      <w:marRight w:val="0"/>
      <w:marTop w:val="0"/>
      <w:marBottom w:val="0"/>
      <w:divBdr>
        <w:top w:val="none" w:sz="0" w:space="0" w:color="auto"/>
        <w:left w:val="none" w:sz="0" w:space="0" w:color="auto"/>
        <w:bottom w:val="none" w:sz="0" w:space="0" w:color="auto"/>
        <w:right w:val="none" w:sz="0" w:space="0" w:color="auto"/>
      </w:divBdr>
    </w:div>
    <w:div w:id="783614216">
      <w:bodyDiv w:val="1"/>
      <w:marLeft w:val="0"/>
      <w:marRight w:val="0"/>
      <w:marTop w:val="0"/>
      <w:marBottom w:val="0"/>
      <w:divBdr>
        <w:top w:val="none" w:sz="0" w:space="0" w:color="auto"/>
        <w:left w:val="none" w:sz="0" w:space="0" w:color="auto"/>
        <w:bottom w:val="none" w:sz="0" w:space="0" w:color="auto"/>
        <w:right w:val="none" w:sz="0" w:space="0" w:color="auto"/>
      </w:divBdr>
    </w:div>
    <w:div w:id="786394156">
      <w:bodyDiv w:val="1"/>
      <w:marLeft w:val="0"/>
      <w:marRight w:val="0"/>
      <w:marTop w:val="0"/>
      <w:marBottom w:val="0"/>
      <w:divBdr>
        <w:top w:val="none" w:sz="0" w:space="0" w:color="auto"/>
        <w:left w:val="none" w:sz="0" w:space="0" w:color="auto"/>
        <w:bottom w:val="none" w:sz="0" w:space="0" w:color="auto"/>
        <w:right w:val="none" w:sz="0" w:space="0" w:color="auto"/>
      </w:divBdr>
    </w:div>
    <w:div w:id="817651643">
      <w:bodyDiv w:val="1"/>
      <w:marLeft w:val="0"/>
      <w:marRight w:val="0"/>
      <w:marTop w:val="0"/>
      <w:marBottom w:val="0"/>
      <w:divBdr>
        <w:top w:val="none" w:sz="0" w:space="0" w:color="auto"/>
        <w:left w:val="none" w:sz="0" w:space="0" w:color="auto"/>
        <w:bottom w:val="none" w:sz="0" w:space="0" w:color="auto"/>
        <w:right w:val="none" w:sz="0" w:space="0" w:color="auto"/>
      </w:divBdr>
    </w:div>
    <w:div w:id="822621887">
      <w:bodyDiv w:val="1"/>
      <w:marLeft w:val="0"/>
      <w:marRight w:val="0"/>
      <w:marTop w:val="0"/>
      <w:marBottom w:val="0"/>
      <w:divBdr>
        <w:top w:val="none" w:sz="0" w:space="0" w:color="auto"/>
        <w:left w:val="none" w:sz="0" w:space="0" w:color="auto"/>
        <w:bottom w:val="none" w:sz="0" w:space="0" w:color="auto"/>
        <w:right w:val="none" w:sz="0" w:space="0" w:color="auto"/>
      </w:divBdr>
    </w:div>
    <w:div w:id="830219136">
      <w:bodyDiv w:val="1"/>
      <w:marLeft w:val="0"/>
      <w:marRight w:val="0"/>
      <w:marTop w:val="0"/>
      <w:marBottom w:val="0"/>
      <w:divBdr>
        <w:top w:val="none" w:sz="0" w:space="0" w:color="auto"/>
        <w:left w:val="none" w:sz="0" w:space="0" w:color="auto"/>
        <w:bottom w:val="none" w:sz="0" w:space="0" w:color="auto"/>
        <w:right w:val="none" w:sz="0" w:space="0" w:color="auto"/>
      </w:divBdr>
    </w:div>
    <w:div w:id="871071617">
      <w:bodyDiv w:val="1"/>
      <w:marLeft w:val="0"/>
      <w:marRight w:val="0"/>
      <w:marTop w:val="0"/>
      <w:marBottom w:val="0"/>
      <w:divBdr>
        <w:top w:val="none" w:sz="0" w:space="0" w:color="auto"/>
        <w:left w:val="none" w:sz="0" w:space="0" w:color="auto"/>
        <w:bottom w:val="none" w:sz="0" w:space="0" w:color="auto"/>
        <w:right w:val="none" w:sz="0" w:space="0" w:color="auto"/>
      </w:divBdr>
    </w:div>
    <w:div w:id="878126605">
      <w:bodyDiv w:val="1"/>
      <w:marLeft w:val="0"/>
      <w:marRight w:val="0"/>
      <w:marTop w:val="0"/>
      <w:marBottom w:val="0"/>
      <w:divBdr>
        <w:top w:val="none" w:sz="0" w:space="0" w:color="auto"/>
        <w:left w:val="none" w:sz="0" w:space="0" w:color="auto"/>
        <w:bottom w:val="none" w:sz="0" w:space="0" w:color="auto"/>
        <w:right w:val="none" w:sz="0" w:space="0" w:color="auto"/>
      </w:divBdr>
    </w:div>
    <w:div w:id="908155742">
      <w:bodyDiv w:val="1"/>
      <w:marLeft w:val="0"/>
      <w:marRight w:val="0"/>
      <w:marTop w:val="0"/>
      <w:marBottom w:val="0"/>
      <w:divBdr>
        <w:top w:val="none" w:sz="0" w:space="0" w:color="auto"/>
        <w:left w:val="none" w:sz="0" w:space="0" w:color="auto"/>
        <w:bottom w:val="none" w:sz="0" w:space="0" w:color="auto"/>
        <w:right w:val="none" w:sz="0" w:space="0" w:color="auto"/>
      </w:divBdr>
    </w:div>
    <w:div w:id="925189005">
      <w:bodyDiv w:val="1"/>
      <w:marLeft w:val="0"/>
      <w:marRight w:val="0"/>
      <w:marTop w:val="0"/>
      <w:marBottom w:val="0"/>
      <w:divBdr>
        <w:top w:val="none" w:sz="0" w:space="0" w:color="auto"/>
        <w:left w:val="none" w:sz="0" w:space="0" w:color="auto"/>
        <w:bottom w:val="none" w:sz="0" w:space="0" w:color="auto"/>
        <w:right w:val="none" w:sz="0" w:space="0" w:color="auto"/>
      </w:divBdr>
    </w:div>
    <w:div w:id="958144556">
      <w:bodyDiv w:val="1"/>
      <w:marLeft w:val="0"/>
      <w:marRight w:val="0"/>
      <w:marTop w:val="0"/>
      <w:marBottom w:val="0"/>
      <w:divBdr>
        <w:top w:val="none" w:sz="0" w:space="0" w:color="auto"/>
        <w:left w:val="none" w:sz="0" w:space="0" w:color="auto"/>
        <w:bottom w:val="none" w:sz="0" w:space="0" w:color="auto"/>
        <w:right w:val="none" w:sz="0" w:space="0" w:color="auto"/>
      </w:divBdr>
    </w:div>
    <w:div w:id="970864582">
      <w:bodyDiv w:val="1"/>
      <w:marLeft w:val="0"/>
      <w:marRight w:val="0"/>
      <w:marTop w:val="0"/>
      <w:marBottom w:val="0"/>
      <w:divBdr>
        <w:top w:val="none" w:sz="0" w:space="0" w:color="auto"/>
        <w:left w:val="none" w:sz="0" w:space="0" w:color="auto"/>
        <w:bottom w:val="none" w:sz="0" w:space="0" w:color="auto"/>
        <w:right w:val="none" w:sz="0" w:space="0" w:color="auto"/>
      </w:divBdr>
    </w:div>
    <w:div w:id="1027948119">
      <w:bodyDiv w:val="1"/>
      <w:marLeft w:val="0"/>
      <w:marRight w:val="0"/>
      <w:marTop w:val="0"/>
      <w:marBottom w:val="0"/>
      <w:divBdr>
        <w:top w:val="none" w:sz="0" w:space="0" w:color="auto"/>
        <w:left w:val="none" w:sz="0" w:space="0" w:color="auto"/>
        <w:bottom w:val="none" w:sz="0" w:space="0" w:color="auto"/>
        <w:right w:val="none" w:sz="0" w:space="0" w:color="auto"/>
      </w:divBdr>
    </w:div>
    <w:div w:id="1056205127">
      <w:bodyDiv w:val="1"/>
      <w:marLeft w:val="0"/>
      <w:marRight w:val="0"/>
      <w:marTop w:val="0"/>
      <w:marBottom w:val="0"/>
      <w:divBdr>
        <w:top w:val="none" w:sz="0" w:space="0" w:color="auto"/>
        <w:left w:val="none" w:sz="0" w:space="0" w:color="auto"/>
        <w:bottom w:val="none" w:sz="0" w:space="0" w:color="auto"/>
        <w:right w:val="none" w:sz="0" w:space="0" w:color="auto"/>
      </w:divBdr>
    </w:div>
    <w:div w:id="1071273986">
      <w:bodyDiv w:val="1"/>
      <w:marLeft w:val="0"/>
      <w:marRight w:val="0"/>
      <w:marTop w:val="0"/>
      <w:marBottom w:val="0"/>
      <w:divBdr>
        <w:top w:val="none" w:sz="0" w:space="0" w:color="auto"/>
        <w:left w:val="none" w:sz="0" w:space="0" w:color="auto"/>
        <w:bottom w:val="none" w:sz="0" w:space="0" w:color="auto"/>
        <w:right w:val="none" w:sz="0" w:space="0" w:color="auto"/>
      </w:divBdr>
    </w:div>
    <w:div w:id="1076436735">
      <w:bodyDiv w:val="1"/>
      <w:marLeft w:val="0"/>
      <w:marRight w:val="0"/>
      <w:marTop w:val="0"/>
      <w:marBottom w:val="0"/>
      <w:divBdr>
        <w:top w:val="none" w:sz="0" w:space="0" w:color="auto"/>
        <w:left w:val="none" w:sz="0" w:space="0" w:color="auto"/>
        <w:bottom w:val="none" w:sz="0" w:space="0" w:color="auto"/>
        <w:right w:val="none" w:sz="0" w:space="0" w:color="auto"/>
      </w:divBdr>
    </w:div>
    <w:div w:id="1108114958">
      <w:bodyDiv w:val="1"/>
      <w:marLeft w:val="0"/>
      <w:marRight w:val="0"/>
      <w:marTop w:val="0"/>
      <w:marBottom w:val="0"/>
      <w:divBdr>
        <w:top w:val="none" w:sz="0" w:space="0" w:color="auto"/>
        <w:left w:val="none" w:sz="0" w:space="0" w:color="auto"/>
        <w:bottom w:val="none" w:sz="0" w:space="0" w:color="auto"/>
        <w:right w:val="none" w:sz="0" w:space="0" w:color="auto"/>
      </w:divBdr>
    </w:div>
    <w:div w:id="1129782308">
      <w:bodyDiv w:val="1"/>
      <w:marLeft w:val="0"/>
      <w:marRight w:val="0"/>
      <w:marTop w:val="0"/>
      <w:marBottom w:val="0"/>
      <w:divBdr>
        <w:top w:val="none" w:sz="0" w:space="0" w:color="auto"/>
        <w:left w:val="none" w:sz="0" w:space="0" w:color="auto"/>
        <w:bottom w:val="none" w:sz="0" w:space="0" w:color="auto"/>
        <w:right w:val="none" w:sz="0" w:space="0" w:color="auto"/>
      </w:divBdr>
    </w:div>
    <w:div w:id="1133792095">
      <w:bodyDiv w:val="1"/>
      <w:marLeft w:val="0"/>
      <w:marRight w:val="0"/>
      <w:marTop w:val="0"/>
      <w:marBottom w:val="0"/>
      <w:divBdr>
        <w:top w:val="none" w:sz="0" w:space="0" w:color="auto"/>
        <w:left w:val="none" w:sz="0" w:space="0" w:color="auto"/>
        <w:bottom w:val="none" w:sz="0" w:space="0" w:color="auto"/>
        <w:right w:val="none" w:sz="0" w:space="0" w:color="auto"/>
      </w:divBdr>
      <w:divsChild>
        <w:div w:id="414134017">
          <w:marLeft w:val="0"/>
          <w:marRight w:val="0"/>
          <w:marTop w:val="0"/>
          <w:marBottom w:val="0"/>
          <w:divBdr>
            <w:top w:val="none" w:sz="0" w:space="0" w:color="auto"/>
            <w:left w:val="none" w:sz="0" w:space="0" w:color="auto"/>
            <w:bottom w:val="none" w:sz="0" w:space="0" w:color="auto"/>
            <w:right w:val="none" w:sz="0" w:space="0" w:color="auto"/>
          </w:divBdr>
        </w:div>
      </w:divsChild>
    </w:div>
    <w:div w:id="1139105628">
      <w:bodyDiv w:val="1"/>
      <w:marLeft w:val="0"/>
      <w:marRight w:val="0"/>
      <w:marTop w:val="0"/>
      <w:marBottom w:val="0"/>
      <w:divBdr>
        <w:top w:val="none" w:sz="0" w:space="0" w:color="auto"/>
        <w:left w:val="none" w:sz="0" w:space="0" w:color="auto"/>
        <w:bottom w:val="none" w:sz="0" w:space="0" w:color="auto"/>
        <w:right w:val="none" w:sz="0" w:space="0" w:color="auto"/>
      </w:divBdr>
    </w:div>
    <w:div w:id="1200826646">
      <w:bodyDiv w:val="1"/>
      <w:marLeft w:val="0"/>
      <w:marRight w:val="0"/>
      <w:marTop w:val="0"/>
      <w:marBottom w:val="0"/>
      <w:divBdr>
        <w:top w:val="none" w:sz="0" w:space="0" w:color="auto"/>
        <w:left w:val="none" w:sz="0" w:space="0" w:color="auto"/>
        <w:bottom w:val="none" w:sz="0" w:space="0" w:color="auto"/>
        <w:right w:val="none" w:sz="0" w:space="0" w:color="auto"/>
      </w:divBdr>
    </w:div>
    <w:div w:id="1208025129">
      <w:bodyDiv w:val="1"/>
      <w:marLeft w:val="0"/>
      <w:marRight w:val="0"/>
      <w:marTop w:val="0"/>
      <w:marBottom w:val="0"/>
      <w:divBdr>
        <w:top w:val="none" w:sz="0" w:space="0" w:color="auto"/>
        <w:left w:val="none" w:sz="0" w:space="0" w:color="auto"/>
        <w:bottom w:val="none" w:sz="0" w:space="0" w:color="auto"/>
        <w:right w:val="none" w:sz="0" w:space="0" w:color="auto"/>
      </w:divBdr>
    </w:div>
    <w:div w:id="1212157783">
      <w:bodyDiv w:val="1"/>
      <w:marLeft w:val="0"/>
      <w:marRight w:val="0"/>
      <w:marTop w:val="0"/>
      <w:marBottom w:val="0"/>
      <w:divBdr>
        <w:top w:val="none" w:sz="0" w:space="0" w:color="auto"/>
        <w:left w:val="none" w:sz="0" w:space="0" w:color="auto"/>
        <w:bottom w:val="none" w:sz="0" w:space="0" w:color="auto"/>
        <w:right w:val="none" w:sz="0" w:space="0" w:color="auto"/>
      </w:divBdr>
    </w:div>
    <w:div w:id="1269048906">
      <w:bodyDiv w:val="1"/>
      <w:marLeft w:val="0"/>
      <w:marRight w:val="0"/>
      <w:marTop w:val="0"/>
      <w:marBottom w:val="0"/>
      <w:divBdr>
        <w:top w:val="none" w:sz="0" w:space="0" w:color="auto"/>
        <w:left w:val="none" w:sz="0" w:space="0" w:color="auto"/>
        <w:bottom w:val="none" w:sz="0" w:space="0" w:color="auto"/>
        <w:right w:val="none" w:sz="0" w:space="0" w:color="auto"/>
      </w:divBdr>
    </w:div>
    <w:div w:id="1320621794">
      <w:bodyDiv w:val="1"/>
      <w:marLeft w:val="0"/>
      <w:marRight w:val="0"/>
      <w:marTop w:val="0"/>
      <w:marBottom w:val="0"/>
      <w:divBdr>
        <w:top w:val="none" w:sz="0" w:space="0" w:color="auto"/>
        <w:left w:val="none" w:sz="0" w:space="0" w:color="auto"/>
        <w:bottom w:val="none" w:sz="0" w:space="0" w:color="auto"/>
        <w:right w:val="none" w:sz="0" w:space="0" w:color="auto"/>
      </w:divBdr>
    </w:div>
    <w:div w:id="1345593091">
      <w:bodyDiv w:val="1"/>
      <w:marLeft w:val="0"/>
      <w:marRight w:val="0"/>
      <w:marTop w:val="0"/>
      <w:marBottom w:val="0"/>
      <w:divBdr>
        <w:top w:val="none" w:sz="0" w:space="0" w:color="auto"/>
        <w:left w:val="none" w:sz="0" w:space="0" w:color="auto"/>
        <w:bottom w:val="none" w:sz="0" w:space="0" w:color="auto"/>
        <w:right w:val="none" w:sz="0" w:space="0" w:color="auto"/>
      </w:divBdr>
    </w:div>
    <w:div w:id="1346899317">
      <w:bodyDiv w:val="1"/>
      <w:marLeft w:val="0"/>
      <w:marRight w:val="0"/>
      <w:marTop w:val="0"/>
      <w:marBottom w:val="0"/>
      <w:divBdr>
        <w:top w:val="none" w:sz="0" w:space="0" w:color="auto"/>
        <w:left w:val="none" w:sz="0" w:space="0" w:color="auto"/>
        <w:bottom w:val="none" w:sz="0" w:space="0" w:color="auto"/>
        <w:right w:val="none" w:sz="0" w:space="0" w:color="auto"/>
      </w:divBdr>
    </w:div>
    <w:div w:id="1355230197">
      <w:bodyDiv w:val="1"/>
      <w:marLeft w:val="0"/>
      <w:marRight w:val="0"/>
      <w:marTop w:val="0"/>
      <w:marBottom w:val="0"/>
      <w:divBdr>
        <w:top w:val="none" w:sz="0" w:space="0" w:color="auto"/>
        <w:left w:val="none" w:sz="0" w:space="0" w:color="auto"/>
        <w:bottom w:val="none" w:sz="0" w:space="0" w:color="auto"/>
        <w:right w:val="none" w:sz="0" w:space="0" w:color="auto"/>
      </w:divBdr>
    </w:div>
    <w:div w:id="1458331686">
      <w:bodyDiv w:val="1"/>
      <w:marLeft w:val="0"/>
      <w:marRight w:val="0"/>
      <w:marTop w:val="0"/>
      <w:marBottom w:val="0"/>
      <w:divBdr>
        <w:top w:val="none" w:sz="0" w:space="0" w:color="auto"/>
        <w:left w:val="none" w:sz="0" w:space="0" w:color="auto"/>
        <w:bottom w:val="none" w:sz="0" w:space="0" w:color="auto"/>
        <w:right w:val="none" w:sz="0" w:space="0" w:color="auto"/>
      </w:divBdr>
    </w:div>
    <w:div w:id="1466007252">
      <w:bodyDiv w:val="1"/>
      <w:marLeft w:val="0"/>
      <w:marRight w:val="0"/>
      <w:marTop w:val="0"/>
      <w:marBottom w:val="0"/>
      <w:divBdr>
        <w:top w:val="none" w:sz="0" w:space="0" w:color="auto"/>
        <w:left w:val="none" w:sz="0" w:space="0" w:color="auto"/>
        <w:bottom w:val="none" w:sz="0" w:space="0" w:color="auto"/>
        <w:right w:val="none" w:sz="0" w:space="0" w:color="auto"/>
      </w:divBdr>
    </w:div>
    <w:div w:id="1498643806">
      <w:bodyDiv w:val="1"/>
      <w:marLeft w:val="0"/>
      <w:marRight w:val="0"/>
      <w:marTop w:val="0"/>
      <w:marBottom w:val="0"/>
      <w:divBdr>
        <w:top w:val="none" w:sz="0" w:space="0" w:color="auto"/>
        <w:left w:val="none" w:sz="0" w:space="0" w:color="auto"/>
        <w:bottom w:val="none" w:sz="0" w:space="0" w:color="auto"/>
        <w:right w:val="none" w:sz="0" w:space="0" w:color="auto"/>
      </w:divBdr>
    </w:div>
    <w:div w:id="1516574547">
      <w:bodyDiv w:val="1"/>
      <w:marLeft w:val="0"/>
      <w:marRight w:val="0"/>
      <w:marTop w:val="0"/>
      <w:marBottom w:val="0"/>
      <w:divBdr>
        <w:top w:val="none" w:sz="0" w:space="0" w:color="auto"/>
        <w:left w:val="none" w:sz="0" w:space="0" w:color="auto"/>
        <w:bottom w:val="none" w:sz="0" w:space="0" w:color="auto"/>
        <w:right w:val="none" w:sz="0" w:space="0" w:color="auto"/>
      </w:divBdr>
    </w:div>
    <w:div w:id="1535843104">
      <w:bodyDiv w:val="1"/>
      <w:marLeft w:val="0"/>
      <w:marRight w:val="0"/>
      <w:marTop w:val="0"/>
      <w:marBottom w:val="0"/>
      <w:divBdr>
        <w:top w:val="none" w:sz="0" w:space="0" w:color="auto"/>
        <w:left w:val="none" w:sz="0" w:space="0" w:color="auto"/>
        <w:bottom w:val="none" w:sz="0" w:space="0" w:color="auto"/>
        <w:right w:val="none" w:sz="0" w:space="0" w:color="auto"/>
      </w:divBdr>
    </w:div>
    <w:div w:id="1555042955">
      <w:bodyDiv w:val="1"/>
      <w:marLeft w:val="0"/>
      <w:marRight w:val="0"/>
      <w:marTop w:val="0"/>
      <w:marBottom w:val="0"/>
      <w:divBdr>
        <w:top w:val="none" w:sz="0" w:space="0" w:color="auto"/>
        <w:left w:val="none" w:sz="0" w:space="0" w:color="auto"/>
        <w:bottom w:val="none" w:sz="0" w:space="0" w:color="auto"/>
        <w:right w:val="none" w:sz="0" w:space="0" w:color="auto"/>
      </w:divBdr>
      <w:divsChild>
        <w:div w:id="436173601">
          <w:marLeft w:val="0"/>
          <w:marRight w:val="0"/>
          <w:marTop w:val="750"/>
          <w:marBottom w:val="0"/>
          <w:divBdr>
            <w:top w:val="none" w:sz="0" w:space="0" w:color="auto"/>
            <w:left w:val="none" w:sz="0" w:space="0" w:color="auto"/>
            <w:bottom w:val="none" w:sz="0" w:space="0" w:color="auto"/>
            <w:right w:val="none" w:sz="0" w:space="0" w:color="auto"/>
          </w:divBdr>
          <w:divsChild>
            <w:div w:id="2120835580">
              <w:marLeft w:val="0"/>
              <w:marRight w:val="0"/>
              <w:marTop w:val="0"/>
              <w:marBottom w:val="0"/>
              <w:divBdr>
                <w:top w:val="none" w:sz="0" w:space="0" w:color="auto"/>
                <w:left w:val="none" w:sz="0" w:space="0" w:color="auto"/>
                <w:bottom w:val="none" w:sz="0" w:space="0" w:color="auto"/>
                <w:right w:val="none" w:sz="0" w:space="0" w:color="auto"/>
              </w:divBdr>
              <w:divsChild>
                <w:div w:id="1014646265">
                  <w:marLeft w:val="0"/>
                  <w:marRight w:val="0"/>
                  <w:marTop w:val="0"/>
                  <w:marBottom w:val="0"/>
                  <w:divBdr>
                    <w:top w:val="single" w:sz="6" w:space="0" w:color="ABABAB"/>
                    <w:left w:val="single" w:sz="6" w:space="0" w:color="ABABAB"/>
                    <w:bottom w:val="none" w:sz="0" w:space="0" w:color="auto"/>
                    <w:right w:val="single" w:sz="6" w:space="0" w:color="ABABAB"/>
                  </w:divBdr>
                  <w:divsChild>
                    <w:div w:id="219827243">
                      <w:marLeft w:val="0"/>
                      <w:marRight w:val="0"/>
                      <w:marTop w:val="0"/>
                      <w:marBottom w:val="0"/>
                      <w:divBdr>
                        <w:top w:val="none" w:sz="0" w:space="0" w:color="auto"/>
                        <w:left w:val="none" w:sz="0" w:space="0" w:color="auto"/>
                        <w:bottom w:val="none" w:sz="0" w:space="0" w:color="auto"/>
                        <w:right w:val="none" w:sz="0" w:space="0" w:color="auto"/>
                      </w:divBdr>
                      <w:divsChild>
                        <w:div w:id="1115250535">
                          <w:marLeft w:val="0"/>
                          <w:marRight w:val="0"/>
                          <w:marTop w:val="0"/>
                          <w:marBottom w:val="0"/>
                          <w:divBdr>
                            <w:top w:val="none" w:sz="0" w:space="0" w:color="auto"/>
                            <w:left w:val="none" w:sz="0" w:space="0" w:color="auto"/>
                            <w:bottom w:val="none" w:sz="0" w:space="0" w:color="auto"/>
                            <w:right w:val="none" w:sz="0" w:space="0" w:color="auto"/>
                          </w:divBdr>
                          <w:divsChild>
                            <w:div w:id="858664625">
                              <w:marLeft w:val="225"/>
                              <w:marRight w:val="105"/>
                              <w:marTop w:val="0"/>
                              <w:marBottom w:val="105"/>
                              <w:divBdr>
                                <w:top w:val="none" w:sz="0" w:space="0" w:color="auto"/>
                                <w:left w:val="none" w:sz="0" w:space="0" w:color="auto"/>
                                <w:bottom w:val="single" w:sz="6" w:space="4" w:color="888888"/>
                                <w:right w:val="none" w:sz="0" w:space="0" w:color="auto"/>
                              </w:divBdr>
                              <w:divsChild>
                                <w:div w:id="51777038">
                                  <w:marLeft w:val="0"/>
                                  <w:marRight w:val="0"/>
                                  <w:marTop w:val="120"/>
                                  <w:marBottom w:val="120"/>
                                  <w:divBdr>
                                    <w:top w:val="none" w:sz="0" w:space="0" w:color="auto"/>
                                    <w:left w:val="none" w:sz="0" w:space="0" w:color="auto"/>
                                    <w:bottom w:val="none" w:sz="0" w:space="0" w:color="auto"/>
                                    <w:right w:val="none" w:sz="0" w:space="0" w:color="auto"/>
                                  </w:divBdr>
                                </w:div>
                                <w:div w:id="318966928">
                                  <w:marLeft w:val="0"/>
                                  <w:marRight w:val="0"/>
                                  <w:marTop w:val="75"/>
                                  <w:marBottom w:val="75"/>
                                  <w:divBdr>
                                    <w:top w:val="single" w:sz="6" w:space="2" w:color="B7B7B7"/>
                                    <w:left w:val="none" w:sz="0" w:space="0" w:color="auto"/>
                                    <w:bottom w:val="single" w:sz="6" w:space="2" w:color="B7B7B7"/>
                                    <w:right w:val="none" w:sz="0" w:space="0" w:color="auto"/>
                                  </w:divBdr>
                                  <w:divsChild>
                                    <w:div w:id="220676681">
                                      <w:marLeft w:val="0"/>
                                      <w:marRight w:val="0"/>
                                      <w:marTop w:val="0"/>
                                      <w:marBottom w:val="0"/>
                                      <w:divBdr>
                                        <w:top w:val="none" w:sz="0" w:space="0" w:color="auto"/>
                                        <w:left w:val="none" w:sz="0" w:space="0" w:color="auto"/>
                                        <w:bottom w:val="none" w:sz="0" w:space="0" w:color="auto"/>
                                        <w:right w:val="none" w:sz="0" w:space="0" w:color="auto"/>
                                      </w:divBdr>
                                    </w:div>
                                    <w:div w:id="1671524918">
                                      <w:marLeft w:val="0"/>
                                      <w:marRight w:val="0"/>
                                      <w:marTop w:val="0"/>
                                      <w:marBottom w:val="0"/>
                                      <w:divBdr>
                                        <w:top w:val="none" w:sz="0" w:space="0" w:color="auto"/>
                                        <w:left w:val="none" w:sz="0" w:space="0" w:color="auto"/>
                                        <w:bottom w:val="none" w:sz="0" w:space="0" w:color="auto"/>
                                        <w:right w:val="none" w:sz="0" w:space="0" w:color="auto"/>
                                      </w:divBdr>
                                    </w:div>
                                  </w:divsChild>
                                </w:div>
                                <w:div w:id="1069420502">
                                  <w:marLeft w:val="0"/>
                                  <w:marRight w:val="0"/>
                                  <w:marTop w:val="0"/>
                                  <w:marBottom w:val="0"/>
                                  <w:divBdr>
                                    <w:top w:val="none" w:sz="0" w:space="0" w:color="auto"/>
                                    <w:left w:val="none" w:sz="0" w:space="0" w:color="auto"/>
                                    <w:bottom w:val="none" w:sz="0" w:space="0" w:color="auto"/>
                                    <w:right w:val="none" w:sz="0" w:space="0" w:color="auto"/>
                                  </w:divBdr>
                                </w:div>
                                <w:div w:id="1108813436">
                                  <w:marLeft w:val="0"/>
                                  <w:marRight w:val="0"/>
                                  <w:marTop w:val="0"/>
                                  <w:marBottom w:val="0"/>
                                  <w:divBdr>
                                    <w:top w:val="none" w:sz="0" w:space="0" w:color="auto"/>
                                    <w:left w:val="none" w:sz="0" w:space="0" w:color="auto"/>
                                    <w:bottom w:val="none" w:sz="0" w:space="0" w:color="auto"/>
                                    <w:right w:val="none" w:sz="0" w:space="0" w:color="auto"/>
                                  </w:divBdr>
                                </w:div>
                                <w:div w:id="214068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048084">
      <w:bodyDiv w:val="1"/>
      <w:marLeft w:val="0"/>
      <w:marRight w:val="0"/>
      <w:marTop w:val="0"/>
      <w:marBottom w:val="0"/>
      <w:divBdr>
        <w:top w:val="none" w:sz="0" w:space="0" w:color="auto"/>
        <w:left w:val="none" w:sz="0" w:space="0" w:color="auto"/>
        <w:bottom w:val="none" w:sz="0" w:space="0" w:color="auto"/>
        <w:right w:val="none" w:sz="0" w:space="0" w:color="auto"/>
      </w:divBdr>
    </w:div>
    <w:div w:id="1630092361">
      <w:bodyDiv w:val="1"/>
      <w:marLeft w:val="0"/>
      <w:marRight w:val="0"/>
      <w:marTop w:val="0"/>
      <w:marBottom w:val="0"/>
      <w:divBdr>
        <w:top w:val="none" w:sz="0" w:space="0" w:color="auto"/>
        <w:left w:val="none" w:sz="0" w:space="0" w:color="auto"/>
        <w:bottom w:val="none" w:sz="0" w:space="0" w:color="auto"/>
        <w:right w:val="none" w:sz="0" w:space="0" w:color="auto"/>
      </w:divBdr>
    </w:div>
    <w:div w:id="1634098055">
      <w:bodyDiv w:val="1"/>
      <w:marLeft w:val="0"/>
      <w:marRight w:val="0"/>
      <w:marTop w:val="0"/>
      <w:marBottom w:val="0"/>
      <w:divBdr>
        <w:top w:val="none" w:sz="0" w:space="0" w:color="auto"/>
        <w:left w:val="none" w:sz="0" w:space="0" w:color="auto"/>
        <w:bottom w:val="none" w:sz="0" w:space="0" w:color="auto"/>
        <w:right w:val="none" w:sz="0" w:space="0" w:color="auto"/>
      </w:divBdr>
    </w:div>
    <w:div w:id="1657027393">
      <w:bodyDiv w:val="1"/>
      <w:marLeft w:val="0"/>
      <w:marRight w:val="0"/>
      <w:marTop w:val="0"/>
      <w:marBottom w:val="0"/>
      <w:divBdr>
        <w:top w:val="none" w:sz="0" w:space="0" w:color="auto"/>
        <w:left w:val="none" w:sz="0" w:space="0" w:color="auto"/>
        <w:bottom w:val="none" w:sz="0" w:space="0" w:color="auto"/>
        <w:right w:val="none" w:sz="0" w:space="0" w:color="auto"/>
      </w:divBdr>
    </w:div>
    <w:div w:id="1662154209">
      <w:bodyDiv w:val="1"/>
      <w:marLeft w:val="0"/>
      <w:marRight w:val="0"/>
      <w:marTop w:val="0"/>
      <w:marBottom w:val="0"/>
      <w:divBdr>
        <w:top w:val="none" w:sz="0" w:space="0" w:color="auto"/>
        <w:left w:val="none" w:sz="0" w:space="0" w:color="auto"/>
        <w:bottom w:val="none" w:sz="0" w:space="0" w:color="auto"/>
        <w:right w:val="none" w:sz="0" w:space="0" w:color="auto"/>
      </w:divBdr>
    </w:div>
    <w:div w:id="1714042878">
      <w:bodyDiv w:val="1"/>
      <w:marLeft w:val="0"/>
      <w:marRight w:val="0"/>
      <w:marTop w:val="0"/>
      <w:marBottom w:val="0"/>
      <w:divBdr>
        <w:top w:val="none" w:sz="0" w:space="0" w:color="auto"/>
        <w:left w:val="none" w:sz="0" w:space="0" w:color="auto"/>
        <w:bottom w:val="none" w:sz="0" w:space="0" w:color="auto"/>
        <w:right w:val="none" w:sz="0" w:space="0" w:color="auto"/>
      </w:divBdr>
    </w:div>
    <w:div w:id="1722098783">
      <w:bodyDiv w:val="1"/>
      <w:marLeft w:val="0"/>
      <w:marRight w:val="0"/>
      <w:marTop w:val="0"/>
      <w:marBottom w:val="0"/>
      <w:divBdr>
        <w:top w:val="none" w:sz="0" w:space="0" w:color="auto"/>
        <w:left w:val="none" w:sz="0" w:space="0" w:color="auto"/>
        <w:bottom w:val="none" w:sz="0" w:space="0" w:color="auto"/>
        <w:right w:val="none" w:sz="0" w:space="0" w:color="auto"/>
      </w:divBdr>
    </w:div>
    <w:div w:id="1827696766">
      <w:bodyDiv w:val="1"/>
      <w:marLeft w:val="0"/>
      <w:marRight w:val="0"/>
      <w:marTop w:val="0"/>
      <w:marBottom w:val="0"/>
      <w:divBdr>
        <w:top w:val="none" w:sz="0" w:space="0" w:color="auto"/>
        <w:left w:val="none" w:sz="0" w:space="0" w:color="auto"/>
        <w:bottom w:val="none" w:sz="0" w:space="0" w:color="auto"/>
        <w:right w:val="none" w:sz="0" w:space="0" w:color="auto"/>
      </w:divBdr>
    </w:div>
    <w:div w:id="1839881546">
      <w:bodyDiv w:val="1"/>
      <w:marLeft w:val="0"/>
      <w:marRight w:val="0"/>
      <w:marTop w:val="75"/>
      <w:marBottom w:val="0"/>
      <w:divBdr>
        <w:top w:val="none" w:sz="0" w:space="0" w:color="auto"/>
        <w:left w:val="none" w:sz="0" w:space="0" w:color="auto"/>
        <w:bottom w:val="none" w:sz="0" w:space="0" w:color="auto"/>
        <w:right w:val="none" w:sz="0" w:space="0" w:color="auto"/>
      </w:divBdr>
      <w:divsChild>
        <w:div w:id="328869193">
          <w:marLeft w:val="0"/>
          <w:marRight w:val="0"/>
          <w:marTop w:val="0"/>
          <w:marBottom w:val="0"/>
          <w:divBdr>
            <w:top w:val="none" w:sz="0" w:space="0" w:color="auto"/>
            <w:left w:val="none" w:sz="0" w:space="0" w:color="auto"/>
            <w:bottom w:val="none" w:sz="0" w:space="0" w:color="auto"/>
            <w:right w:val="none" w:sz="0" w:space="0" w:color="auto"/>
          </w:divBdr>
          <w:divsChild>
            <w:div w:id="304895109">
              <w:marLeft w:val="0"/>
              <w:marRight w:val="0"/>
              <w:marTop w:val="0"/>
              <w:marBottom w:val="0"/>
              <w:divBdr>
                <w:top w:val="none" w:sz="0" w:space="0" w:color="auto"/>
                <w:left w:val="none" w:sz="0" w:space="0" w:color="auto"/>
                <w:bottom w:val="none" w:sz="0" w:space="0" w:color="auto"/>
                <w:right w:val="none" w:sz="0" w:space="0" w:color="auto"/>
              </w:divBdr>
              <w:divsChild>
                <w:div w:id="72624965">
                  <w:marLeft w:val="0"/>
                  <w:marRight w:val="0"/>
                  <w:marTop w:val="0"/>
                  <w:marBottom w:val="0"/>
                  <w:divBdr>
                    <w:top w:val="none" w:sz="0" w:space="0" w:color="auto"/>
                    <w:left w:val="none" w:sz="0" w:space="0" w:color="auto"/>
                    <w:bottom w:val="none" w:sz="0" w:space="0" w:color="auto"/>
                    <w:right w:val="none" w:sz="0" w:space="0" w:color="auto"/>
                  </w:divBdr>
                  <w:divsChild>
                    <w:div w:id="1551116691">
                      <w:marLeft w:val="0"/>
                      <w:marRight w:val="0"/>
                      <w:marTop w:val="0"/>
                      <w:marBottom w:val="0"/>
                      <w:divBdr>
                        <w:top w:val="none" w:sz="0" w:space="0" w:color="auto"/>
                        <w:left w:val="none" w:sz="0" w:space="0" w:color="auto"/>
                        <w:bottom w:val="none" w:sz="0" w:space="0" w:color="auto"/>
                        <w:right w:val="none" w:sz="0" w:space="0" w:color="auto"/>
                      </w:divBdr>
                      <w:divsChild>
                        <w:div w:id="889999378">
                          <w:marLeft w:val="0"/>
                          <w:marRight w:val="0"/>
                          <w:marTop w:val="0"/>
                          <w:marBottom w:val="0"/>
                          <w:divBdr>
                            <w:top w:val="none" w:sz="0" w:space="0" w:color="auto"/>
                            <w:left w:val="none" w:sz="0" w:space="0" w:color="auto"/>
                            <w:bottom w:val="none" w:sz="0" w:space="0" w:color="auto"/>
                            <w:right w:val="none" w:sz="0" w:space="0" w:color="auto"/>
                          </w:divBdr>
                          <w:divsChild>
                            <w:div w:id="338428189">
                              <w:marLeft w:val="0"/>
                              <w:marRight w:val="0"/>
                              <w:marTop w:val="0"/>
                              <w:marBottom w:val="0"/>
                              <w:divBdr>
                                <w:top w:val="none" w:sz="0" w:space="0" w:color="auto"/>
                                <w:left w:val="none" w:sz="0" w:space="0" w:color="auto"/>
                                <w:bottom w:val="none" w:sz="0" w:space="0" w:color="auto"/>
                                <w:right w:val="none" w:sz="0" w:space="0" w:color="auto"/>
                              </w:divBdr>
                              <w:divsChild>
                                <w:div w:id="909073588">
                                  <w:marLeft w:val="0"/>
                                  <w:marRight w:val="0"/>
                                  <w:marTop w:val="0"/>
                                  <w:marBottom w:val="0"/>
                                  <w:divBdr>
                                    <w:top w:val="none" w:sz="0" w:space="0" w:color="auto"/>
                                    <w:left w:val="none" w:sz="0" w:space="0" w:color="auto"/>
                                    <w:bottom w:val="none" w:sz="0" w:space="0" w:color="auto"/>
                                    <w:right w:val="none" w:sz="0" w:space="0" w:color="auto"/>
                                  </w:divBdr>
                                  <w:divsChild>
                                    <w:div w:id="1138378291">
                                      <w:marLeft w:val="0"/>
                                      <w:marRight w:val="0"/>
                                      <w:marTop w:val="0"/>
                                      <w:marBottom w:val="0"/>
                                      <w:divBdr>
                                        <w:top w:val="none" w:sz="0" w:space="0" w:color="auto"/>
                                        <w:left w:val="none" w:sz="0" w:space="0" w:color="auto"/>
                                        <w:bottom w:val="none" w:sz="0" w:space="0" w:color="auto"/>
                                        <w:right w:val="none" w:sz="0" w:space="0" w:color="auto"/>
                                      </w:divBdr>
                                      <w:divsChild>
                                        <w:div w:id="1611817926">
                                          <w:marLeft w:val="0"/>
                                          <w:marRight w:val="0"/>
                                          <w:marTop w:val="0"/>
                                          <w:marBottom w:val="0"/>
                                          <w:divBdr>
                                            <w:top w:val="none" w:sz="0" w:space="0" w:color="auto"/>
                                            <w:left w:val="none" w:sz="0" w:space="0" w:color="auto"/>
                                            <w:bottom w:val="none" w:sz="0" w:space="0" w:color="auto"/>
                                            <w:right w:val="none" w:sz="0" w:space="0" w:color="auto"/>
                                          </w:divBdr>
                                          <w:divsChild>
                                            <w:div w:id="163277450">
                                              <w:marLeft w:val="0"/>
                                              <w:marRight w:val="0"/>
                                              <w:marTop w:val="0"/>
                                              <w:marBottom w:val="0"/>
                                              <w:divBdr>
                                                <w:top w:val="none" w:sz="0" w:space="0" w:color="auto"/>
                                                <w:left w:val="none" w:sz="0" w:space="0" w:color="auto"/>
                                                <w:bottom w:val="none" w:sz="0" w:space="0" w:color="auto"/>
                                                <w:right w:val="none" w:sz="0" w:space="0" w:color="auto"/>
                                              </w:divBdr>
                                              <w:divsChild>
                                                <w:div w:id="109794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5508424">
      <w:bodyDiv w:val="1"/>
      <w:marLeft w:val="0"/>
      <w:marRight w:val="0"/>
      <w:marTop w:val="0"/>
      <w:marBottom w:val="0"/>
      <w:divBdr>
        <w:top w:val="none" w:sz="0" w:space="0" w:color="auto"/>
        <w:left w:val="none" w:sz="0" w:space="0" w:color="auto"/>
        <w:bottom w:val="none" w:sz="0" w:space="0" w:color="auto"/>
        <w:right w:val="none" w:sz="0" w:space="0" w:color="auto"/>
      </w:divBdr>
    </w:div>
    <w:div w:id="1848901663">
      <w:bodyDiv w:val="1"/>
      <w:marLeft w:val="0"/>
      <w:marRight w:val="0"/>
      <w:marTop w:val="0"/>
      <w:marBottom w:val="0"/>
      <w:divBdr>
        <w:top w:val="none" w:sz="0" w:space="0" w:color="auto"/>
        <w:left w:val="none" w:sz="0" w:space="0" w:color="auto"/>
        <w:bottom w:val="none" w:sz="0" w:space="0" w:color="auto"/>
        <w:right w:val="none" w:sz="0" w:space="0" w:color="auto"/>
      </w:divBdr>
    </w:div>
    <w:div w:id="1856841008">
      <w:bodyDiv w:val="1"/>
      <w:marLeft w:val="0"/>
      <w:marRight w:val="0"/>
      <w:marTop w:val="0"/>
      <w:marBottom w:val="0"/>
      <w:divBdr>
        <w:top w:val="none" w:sz="0" w:space="0" w:color="auto"/>
        <w:left w:val="none" w:sz="0" w:space="0" w:color="auto"/>
        <w:bottom w:val="none" w:sz="0" w:space="0" w:color="auto"/>
        <w:right w:val="none" w:sz="0" w:space="0" w:color="auto"/>
      </w:divBdr>
    </w:div>
    <w:div w:id="1963413888">
      <w:bodyDiv w:val="1"/>
      <w:marLeft w:val="0"/>
      <w:marRight w:val="0"/>
      <w:marTop w:val="75"/>
      <w:marBottom w:val="0"/>
      <w:divBdr>
        <w:top w:val="none" w:sz="0" w:space="0" w:color="auto"/>
        <w:left w:val="none" w:sz="0" w:space="0" w:color="auto"/>
        <w:bottom w:val="none" w:sz="0" w:space="0" w:color="auto"/>
        <w:right w:val="none" w:sz="0" w:space="0" w:color="auto"/>
      </w:divBdr>
      <w:divsChild>
        <w:div w:id="129135867">
          <w:marLeft w:val="0"/>
          <w:marRight w:val="0"/>
          <w:marTop w:val="0"/>
          <w:marBottom w:val="0"/>
          <w:divBdr>
            <w:top w:val="none" w:sz="0" w:space="0" w:color="auto"/>
            <w:left w:val="none" w:sz="0" w:space="0" w:color="auto"/>
            <w:bottom w:val="none" w:sz="0" w:space="0" w:color="auto"/>
            <w:right w:val="none" w:sz="0" w:space="0" w:color="auto"/>
          </w:divBdr>
          <w:divsChild>
            <w:div w:id="1293974220">
              <w:marLeft w:val="0"/>
              <w:marRight w:val="0"/>
              <w:marTop w:val="0"/>
              <w:marBottom w:val="0"/>
              <w:divBdr>
                <w:top w:val="none" w:sz="0" w:space="0" w:color="auto"/>
                <w:left w:val="none" w:sz="0" w:space="0" w:color="auto"/>
                <w:bottom w:val="none" w:sz="0" w:space="0" w:color="auto"/>
                <w:right w:val="none" w:sz="0" w:space="0" w:color="auto"/>
              </w:divBdr>
              <w:divsChild>
                <w:div w:id="1262447862">
                  <w:marLeft w:val="0"/>
                  <w:marRight w:val="0"/>
                  <w:marTop w:val="0"/>
                  <w:marBottom w:val="0"/>
                  <w:divBdr>
                    <w:top w:val="none" w:sz="0" w:space="0" w:color="auto"/>
                    <w:left w:val="none" w:sz="0" w:space="0" w:color="auto"/>
                    <w:bottom w:val="none" w:sz="0" w:space="0" w:color="auto"/>
                    <w:right w:val="none" w:sz="0" w:space="0" w:color="auto"/>
                  </w:divBdr>
                  <w:divsChild>
                    <w:div w:id="875311343">
                      <w:marLeft w:val="0"/>
                      <w:marRight w:val="0"/>
                      <w:marTop w:val="0"/>
                      <w:marBottom w:val="0"/>
                      <w:divBdr>
                        <w:top w:val="none" w:sz="0" w:space="0" w:color="auto"/>
                        <w:left w:val="none" w:sz="0" w:space="0" w:color="auto"/>
                        <w:bottom w:val="none" w:sz="0" w:space="0" w:color="auto"/>
                        <w:right w:val="none" w:sz="0" w:space="0" w:color="auto"/>
                      </w:divBdr>
                      <w:divsChild>
                        <w:div w:id="1359239816">
                          <w:marLeft w:val="0"/>
                          <w:marRight w:val="0"/>
                          <w:marTop w:val="0"/>
                          <w:marBottom w:val="0"/>
                          <w:divBdr>
                            <w:top w:val="none" w:sz="0" w:space="0" w:color="auto"/>
                            <w:left w:val="none" w:sz="0" w:space="0" w:color="auto"/>
                            <w:bottom w:val="none" w:sz="0" w:space="0" w:color="auto"/>
                            <w:right w:val="none" w:sz="0" w:space="0" w:color="auto"/>
                          </w:divBdr>
                          <w:divsChild>
                            <w:div w:id="2001619258">
                              <w:marLeft w:val="0"/>
                              <w:marRight w:val="0"/>
                              <w:marTop w:val="0"/>
                              <w:marBottom w:val="0"/>
                              <w:divBdr>
                                <w:top w:val="none" w:sz="0" w:space="0" w:color="auto"/>
                                <w:left w:val="none" w:sz="0" w:space="0" w:color="auto"/>
                                <w:bottom w:val="none" w:sz="0" w:space="0" w:color="auto"/>
                                <w:right w:val="none" w:sz="0" w:space="0" w:color="auto"/>
                              </w:divBdr>
                              <w:divsChild>
                                <w:div w:id="1793942144">
                                  <w:marLeft w:val="0"/>
                                  <w:marRight w:val="0"/>
                                  <w:marTop w:val="0"/>
                                  <w:marBottom w:val="0"/>
                                  <w:divBdr>
                                    <w:top w:val="none" w:sz="0" w:space="0" w:color="auto"/>
                                    <w:left w:val="none" w:sz="0" w:space="0" w:color="auto"/>
                                    <w:bottom w:val="none" w:sz="0" w:space="0" w:color="auto"/>
                                    <w:right w:val="none" w:sz="0" w:space="0" w:color="auto"/>
                                  </w:divBdr>
                                  <w:divsChild>
                                    <w:div w:id="955449727">
                                      <w:marLeft w:val="0"/>
                                      <w:marRight w:val="0"/>
                                      <w:marTop w:val="0"/>
                                      <w:marBottom w:val="0"/>
                                      <w:divBdr>
                                        <w:top w:val="none" w:sz="0" w:space="0" w:color="auto"/>
                                        <w:left w:val="none" w:sz="0" w:space="0" w:color="auto"/>
                                        <w:bottom w:val="none" w:sz="0" w:space="0" w:color="auto"/>
                                        <w:right w:val="none" w:sz="0" w:space="0" w:color="auto"/>
                                      </w:divBdr>
                                      <w:divsChild>
                                        <w:div w:id="1958831763">
                                          <w:marLeft w:val="0"/>
                                          <w:marRight w:val="0"/>
                                          <w:marTop w:val="0"/>
                                          <w:marBottom w:val="0"/>
                                          <w:divBdr>
                                            <w:top w:val="none" w:sz="0" w:space="0" w:color="auto"/>
                                            <w:left w:val="none" w:sz="0" w:space="0" w:color="auto"/>
                                            <w:bottom w:val="none" w:sz="0" w:space="0" w:color="auto"/>
                                            <w:right w:val="none" w:sz="0" w:space="0" w:color="auto"/>
                                          </w:divBdr>
                                          <w:divsChild>
                                            <w:div w:id="1834489991">
                                              <w:marLeft w:val="0"/>
                                              <w:marRight w:val="0"/>
                                              <w:marTop w:val="0"/>
                                              <w:marBottom w:val="0"/>
                                              <w:divBdr>
                                                <w:top w:val="none" w:sz="0" w:space="0" w:color="auto"/>
                                                <w:left w:val="none" w:sz="0" w:space="0" w:color="auto"/>
                                                <w:bottom w:val="none" w:sz="0" w:space="0" w:color="auto"/>
                                                <w:right w:val="none" w:sz="0" w:space="0" w:color="auto"/>
                                              </w:divBdr>
                                              <w:divsChild>
                                                <w:div w:id="62292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9943049">
      <w:bodyDiv w:val="1"/>
      <w:marLeft w:val="0"/>
      <w:marRight w:val="0"/>
      <w:marTop w:val="0"/>
      <w:marBottom w:val="0"/>
      <w:divBdr>
        <w:top w:val="none" w:sz="0" w:space="0" w:color="auto"/>
        <w:left w:val="none" w:sz="0" w:space="0" w:color="auto"/>
        <w:bottom w:val="none" w:sz="0" w:space="0" w:color="auto"/>
        <w:right w:val="none" w:sz="0" w:space="0" w:color="auto"/>
      </w:divBdr>
    </w:div>
    <w:div w:id="2043240965">
      <w:bodyDiv w:val="1"/>
      <w:marLeft w:val="0"/>
      <w:marRight w:val="0"/>
      <w:marTop w:val="0"/>
      <w:marBottom w:val="0"/>
      <w:divBdr>
        <w:top w:val="none" w:sz="0" w:space="0" w:color="auto"/>
        <w:left w:val="none" w:sz="0" w:space="0" w:color="auto"/>
        <w:bottom w:val="none" w:sz="0" w:space="0" w:color="auto"/>
        <w:right w:val="none" w:sz="0" w:space="0" w:color="auto"/>
      </w:divBdr>
    </w:div>
    <w:div w:id="2056196106">
      <w:bodyDiv w:val="1"/>
      <w:marLeft w:val="0"/>
      <w:marRight w:val="0"/>
      <w:marTop w:val="0"/>
      <w:marBottom w:val="0"/>
      <w:divBdr>
        <w:top w:val="none" w:sz="0" w:space="0" w:color="auto"/>
        <w:left w:val="none" w:sz="0" w:space="0" w:color="auto"/>
        <w:bottom w:val="none" w:sz="0" w:space="0" w:color="auto"/>
        <w:right w:val="none" w:sz="0" w:space="0" w:color="auto"/>
      </w:divBdr>
    </w:div>
    <w:div w:id="2086802586">
      <w:bodyDiv w:val="1"/>
      <w:marLeft w:val="0"/>
      <w:marRight w:val="0"/>
      <w:marTop w:val="0"/>
      <w:marBottom w:val="0"/>
      <w:divBdr>
        <w:top w:val="none" w:sz="0" w:space="0" w:color="auto"/>
        <w:left w:val="none" w:sz="0" w:space="0" w:color="auto"/>
        <w:bottom w:val="none" w:sz="0" w:space="0" w:color="auto"/>
        <w:right w:val="none" w:sz="0" w:space="0" w:color="auto"/>
      </w:divBdr>
    </w:div>
    <w:div w:id="2093819048">
      <w:bodyDiv w:val="1"/>
      <w:marLeft w:val="0"/>
      <w:marRight w:val="0"/>
      <w:marTop w:val="75"/>
      <w:marBottom w:val="0"/>
      <w:divBdr>
        <w:top w:val="none" w:sz="0" w:space="0" w:color="auto"/>
        <w:left w:val="none" w:sz="0" w:space="0" w:color="auto"/>
        <w:bottom w:val="none" w:sz="0" w:space="0" w:color="auto"/>
        <w:right w:val="none" w:sz="0" w:space="0" w:color="auto"/>
      </w:divBdr>
      <w:divsChild>
        <w:div w:id="834684726">
          <w:marLeft w:val="0"/>
          <w:marRight w:val="0"/>
          <w:marTop w:val="0"/>
          <w:marBottom w:val="0"/>
          <w:divBdr>
            <w:top w:val="none" w:sz="0" w:space="0" w:color="auto"/>
            <w:left w:val="none" w:sz="0" w:space="0" w:color="auto"/>
            <w:bottom w:val="none" w:sz="0" w:space="0" w:color="auto"/>
            <w:right w:val="none" w:sz="0" w:space="0" w:color="auto"/>
          </w:divBdr>
          <w:divsChild>
            <w:div w:id="1445997923">
              <w:marLeft w:val="0"/>
              <w:marRight w:val="0"/>
              <w:marTop w:val="0"/>
              <w:marBottom w:val="0"/>
              <w:divBdr>
                <w:top w:val="none" w:sz="0" w:space="0" w:color="auto"/>
                <w:left w:val="none" w:sz="0" w:space="0" w:color="auto"/>
                <w:bottom w:val="none" w:sz="0" w:space="0" w:color="auto"/>
                <w:right w:val="none" w:sz="0" w:space="0" w:color="auto"/>
              </w:divBdr>
              <w:divsChild>
                <w:div w:id="855198501">
                  <w:marLeft w:val="0"/>
                  <w:marRight w:val="0"/>
                  <w:marTop w:val="0"/>
                  <w:marBottom w:val="0"/>
                  <w:divBdr>
                    <w:top w:val="none" w:sz="0" w:space="0" w:color="auto"/>
                    <w:left w:val="none" w:sz="0" w:space="0" w:color="auto"/>
                    <w:bottom w:val="none" w:sz="0" w:space="0" w:color="auto"/>
                    <w:right w:val="none" w:sz="0" w:space="0" w:color="auto"/>
                  </w:divBdr>
                  <w:divsChild>
                    <w:div w:id="103228560">
                      <w:marLeft w:val="0"/>
                      <w:marRight w:val="0"/>
                      <w:marTop w:val="0"/>
                      <w:marBottom w:val="0"/>
                      <w:divBdr>
                        <w:top w:val="none" w:sz="0" w:space="0" w:color="auto"/>
                        <w:left w:val="none" w:sz="0" w:space="0" w:color="auto"/>
                        <w:bottom w:val="none" w:sz="0" w:space="0" w:color="auto"/>
                        <w:right w:val="none" w:sz="0" w:space="0" w:color="auto"/>
                      </w:divBdr>
                      <w:divsChild>
                        <w:div w:id="17314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92552">
      <w:bodyDiv w:val="1"/>
      <w:marLeft w:val="0"/>
      <w:marRight w:val="0"/>
      <w:marTop w:val="0"/>
      <w:marBottom w:val="0"/>
      <w:divBdr>
        <w:top w:val="none" w:sz="0" w:space="0" w:color="auto"/>
        <w:left w:val="none" w:sz="0" w:space="0" w:color="auto"/>
        <w:bottom w:val="none" w:sz="0" w:space="0" w:color="auto"/>
        <w:right w:val="none" w:sz="0" w:space="0" w:color="auto"/>
      </w:divBdr>
    </w:div>
    <w:div w:id="2127389689">
      <w:bodyDiv w:val="1"/>
      <w:marLeft w:val="0"/>
      <w:marRight w:val="0"/>
      <w:marTop w:val="0"/>
      <w:marBottom w:val="0"/>
      <w:divBdr>
        <w:top w:val="none" w:sz="0" w:space="0" w:color="auto"/>
        <w:left w:val="none" w:sz="0" w:space="0" w:color="auto"/>
        <w:bottom w:val="none" w:sz="0" w:space="0" w:color="auto"/>
        <w:right w:val="none" w:sz="0" w:space="0" w:color="auto"/>
      </w:divBdr>
    </w:div>
    <w:div w:id="2128620719">
      <w:bodyDiv w:val="1"/>
      <w:marLeft w:val="0"/>
      <w:marRight w:val="0"/>
      <w:marTop w:val="75"/>
      <w:marBottom w:val="0"/>
      <w:divBdr>
        <w:top w:val="none" w:sz="0" w:space="0" w:color="auto"/>
        <w:left w:val="none" w:sz="0" w:space="0" w:color="auto"/>
        <w:bottom w:val="none" w:sz="0" w:space="0" w:color="auto"/>
        <w:right w:val="none" w:sz="0" w:space="0" w:color="auto"/>
      </w:divBdr>
      <w:divsChild>
        <w:div w:id="295259965">
          <w:marLeft w:val="0"/>
          <w:marRight w:val="0"/>
          <w:marTop w:val="0"/>
          <w:marBottom w:val="0"/>
          <w:divBdr>
            <w:top w:val="none" w:sz="0" w:space="0" w:color="auto"/>
            <w:left w:val="none" w:sz="0" w:space="0" w:color="auto"/>
            <w:bottom w:val="none" w:sz="0" w:space="0" w:color="auto"/>
            <w:right w:val="none" w:sz="0" w:space="0" w:color="auto"/>
          </w:divBdr>
          <w:divsChild>
            <w:div w:id="1279409921">
              <w:marLeft w:val="0"/>
              <w:marRight w:val="0"/>
              <w:marTop w:val="0"/>
              <w:marBottom w:val="0"/>
              <w:divBdr>
                <w:top w:val="none" w:sz="0" w:space="0" w:color="auto"/>
                <w:left w:val="none" w:sz="0" w:space="0" w:color="auto"/>
                <w:bottom w:val="none" w:sz="0" w:space="0" w:color="auto"/>
                <w:right w:val="none" w:sz="0" w:space="0" w:color="auto"/>
              </w:divBdr>
              <w:divsChild>
                <w:div w:id="1314799622">
                  <w:marLeft w:val="0"/>
                  <w:marRight w:val="0"/>
                  <w:marTop w:val="0"/>
                  <w:marBottom w:val="0"/>
                  <w:divBdr>
                    <w:top w:val="none" w:sz="0" w:space="0" w:color="auto"/>
                    <w:left w:val="none" w:sz="0" w:space="0" w:color="auto"/>
                    <w:bottom w:val="none" w:sz="0" w:space="0" w:color="auto"/>
                    <w:right w:val="none" w:sz="0" w:space="0" w:color="auto"/>
                  </w:divBdr>
                  <w:divsChild>
                    <w:div w:id="1974360796">
                      <w:marLeft w:val="0"/>
                      <w:marRight w:val="0"/>
                      <w:marTop w:val="0"/>
                      <w:marBottom w:val="0"/>
                      <w:divBdr>
                        <w:top w:val="none" w:sz="0" w:space="0" w:color="auto"/>
                        <w:left w:val="none" w:sz="0" w:space="0" w:color="auto"/>
                        <w:bottom w:val="none" w:sz="0" w:space="0" w:color="auto"/>
                        <w:right w:val="none" w:sz="0" w:space="0" w:color="auto"/>
                      </w:divBdr>
                      <w:divsChild>
                        <w:div w:id="1839810902">
                          <w:marLeft w:val="0"/>
                          <w:marRight w:val="0"/>
                          <w:marTop w:val="0"/>
                          <w:marBottom w:val="0"/>
                          <w:divBdr>
                            <w:top w:val="none" w:sz="0" w:space="0" w:color="auto"/>
                            <w:left w:val="none" w:sz="0" w:space="0" w:color="auto"/>
                            <w:bottom w:val="none" w:sz="0" w:space="0" w:color="auto"/>
                            <w:right w:val="none" w:sz="0" w:space="0" w:color="auto"/>
                          </w:divBdr>
                          <w:divsChild>
                            <w:div w:id="1957131248">
                              <w:marLeft w:val="0"/>
                              <w:marRight w:val="0"/>
                              <w:marTop w:val="0"/>
                              <w:marBottom w:val="0"/>
                              <w:divBdr>
                                <w:top w:val="none" w:sz="0" w:space="0" w:color="auto"/>
                                <w:left w:val="none" w:sz="0" w:space="0" w:color="auto"/>
                                <w:bottom w:val="none" w:sz="0" w:space="0" w:color="auto"/>
                                <w:right w:val="none" w:sz="0" w:space="0" w:color="auto"/>
                              </w:divBdr>
                              <w:divsChild>
                                <w:div w:id="851336999">
                                  <w:marLeft w:val="0"/>
                                  <w:marRight w:val="0"/>
                                  <w:marTop w:val="0"/>
                                  <w:marBottom w:val="0"/>
                                  <w:divBdr>
                                    <w:top w:val="none" w:sz="0" w:space="0" w:color="auto"/>
                                    <w:left w:val="none" w:sz="0" w:space="0" w:color="auto"/>
                                    <w:bottom w:val="none" w:sz="0" w:space="0" w:color="auto"/>
                                    <w:right w:val="none" w:sz="0" w:space="0" w:color="auto"/>
                                  </w:divBdr>
                                  <w:divsChild>
                                    <w:div w:id="853569158">
                                      <w:marLeft w:val="0"/>
                                      <w:marRight w:val="0"/>
                                      <w:marTop w:val="0"/>
                                      <w:marBottom w:val="0"/>
                                      <w:divBdr>
                                        <w:top w:val="none" w:sz="0" w:space="0" w:color="auto"/>
                                        <w:left w:val="none" w:sz="0" w:space="0" w:color="auto"/>
                                        <w:bottom w:val="none" w:sz="0" w:space="0" w:color="auto"/>
                                        <w:right w:val="none" w:sz="0" w:space="0" w:color="auto"/>
                                      </w:divBdr>
                                      <w:divsChild>
                                        <w:div w:id="1483038024">
                                          <w:marLeft w:val="0"/>
                                          <w:marRight w:val="0"/>
                                          <w:marTop w:val="0"/>
                                          <w:marBottom w:val="0"/>
                                          <w:divBdr>
                                            <w:top w:val="none" w:sz="0" w:space="0" w:color="auto"/>
                                            <w:left w:val="none" w:sz="0" w:space="0" w:color="auto"/>
                                            <w:bottom w:val="none" w:sz="0" w:space="0" w:color="auto"/>
                                            <w:right w:val="none" w:sz="0" w:space="0" w:color="auto"/>
                                          </w:divBdr>
                                          <w:divsChild>
                                            <w:div w:id="710497448">
                                              <w:marLeft w:val="0"/>
                                              <w:marRight w:val="0"/>
                                              <w:marTop w:val="0"/>
                                              <w:marBottom w:val="0"/>
                                              <w:divBdr>
                                                <w:top w:val="none" w:sz="0" w:space="0" w:color="auto"/>
                                                <w:left w:val="none" w:sz="0" w:space="0" w:color="auto"/>
                                                <w:bottom w:val="none" w:sz="0" w:space="0" w:color="auto"/>
                                                <w:right w:val="none" w:sz="0" w:space="0" w:color="auto"/>
                                              </w:divBdr>
                                              <w:divsChild>
                                                <w:div w:id="80022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5100459">
      <w:bodyDiv w:val="1"/>
      <w:marLeft w:val="0"/>
      <w:marRight w:val="0"/>
      <w:marTop w:val="0"/>
      <w:marBottom w:val="0"/>
      <w:divBdr>
        <w:top w:val="none" w:sz="0" w:space="0" w:color="auto"/>
        <w:left w:val="none" w:sz="0" w:space="0" w:color="auto"/>
        <w:bottom w:val="none" w:sz="0" w:space="0" w:color="auto"/>
        <w:right w:val="none" w:sz="0" w:space="0" w:color="auto"/>
      </w:divBdr>
    </w:div>
    <w:div w:id="214461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0.png"/><Relationship Id="rId26" Type="http://schemas.openxmlformats.org/officeDocument/2006/relationships/image" Target="media/image6.emf"/><Relationship Id="rId39" Type="http://schemas.openxmlformats.org/officeDocument/2006/relationships/image" Target="media/image11.png"/><Relationship Id="rId21" Type="http://schemas.openxmlformats.org/officeDocument/2006/relationships/footer" Target="footer3.xml"/><Relationship Id="rId34" Type="http://schemas.openxmlformats.org/officeDocument/2006/relationships/image" Target="media/image9.png"/><Relationship Id="rId42" Type="http://schemas.openxmlformats.org/officeDocument/2006/relationships/image" Target="media/image120.png"/><Relationship Id="rId47" Type="http://schemas.openxmlformats.org/officeDocument/2006/relationships/footer" Target="footer6.xml"/><Relationship Id="rId50" Type="http://schemas.openxmlformats.org/officeDocument/2006/relationships/chart" Target="charts/chart2.xml"/><Relationship Id="rId55" Type="http://schemas.openxmlformats.org/officeDocument/2006/relationships/chart" Target="charts/chart7.xm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5.xml"/><Relationship Id="rId41" Type="http://schemas.openxmlformats.org/officeDocument/2006/relationships/image" Target="media/image12.png"/><Relationship Id="rId54" Type="http://schemas.openxmlformats.org/officeDocument/2006/relationships/chart" Target="charts/chart6.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24" Type="http://schemas.openxmlformats.org/officeDocument/2006/relationships/hyperlink" Target="http://www.ora.ca.gov" TargetMode="External"/><Relationship Id="rId32" Type="http://schemas.openxmlformats.org/officeDocument/2006/relationships/image" Target="media/image8.png"/><Relationship Id="rId37" Type="http://schemas.openxmlformats.org/officeDocument/2006/relationships/image" Target="media/image100.png"/><Relationship Id="rId40" Type="http://schemas.openxmlformats.org/officeDocument/2006/relationships/image" Target="media/image110.png"/><Relationship Id="rId45" Type="http://schemas.openxmlformats.org/officeDocument/2006/relationships/image" Target="media/image14.png"/><Relationship Id="rId53" Type="http://schemas.openxmlformats.org/officeDocument/2006/relationships/chart" Target="charts/chart5.xml"/><Relationship Id="rId58" Type="http://schemas.openxmlformats.org/officeDocument/2006/relationships/hyperlink" Target="http://leginfo.legislature.ca.gov/faces/billNavClient.xhtml?bill_id=201520160AB1266" TargetMode="Externa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yperlink" Target="http://www.ora.ca.gov" TargetMode="External"/><Relationship Id="rId28" Type="http://schemas.openxmlformats.org/officeDocument/2006/relationships/footer" Target="footer4.xml"/><Relationship Id="rId36" Type="http://schemas.openxmlformats.org/officeDocument/2006/relationships/image" Target="media/image10.png"/><Relationship Id="rId49" Type="http://schemas.openxmlformats.org/officeDocument/2006/relationships/chart" Target="charts/chart1.xml"/><Relationship Id="rId57" Type="http://schemas.openxmlformats.org/officeDocument/2006/relationships/image" Target="media/image150.png"/><Relationship Id="rId61" Type="http://schemas.openxmlformats.org/officeDocument/2006/relationships/footer" Target="footer8.xml"/><Relationship Id="rId10" Type="http://schemas.openxmlformats.org/officeDocument/2006/relationships/image" Target="media/image1.jpeg"/><Relationship Id="rId19" Type="http://schemas.openxmlformats.org/officeDocument/2006/relationships/image" Target="media/image3.jpeg"/><Relationship Id="rId31" Type="http://schemas.openxmlformats.org/officeDocument/2006/relationships/image" Target="media/image70.png"/><Relationship Id="rId44" Type="http://schemas.openxmlformats.org/officeDocument/2006/relationships/image" Target="media/image130.png"/><Relationship Id="rId52" Type="http://schemas.openxmlformats.org/officeDocument/2006/relationships/chart" Target="charts/chart4.xml"/><Relationship Id="rId60" Type="http://schemas.openxmlformats.org/officeDocument/2006/relationships/header" Target="header7.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image" Target="media/image60.emf"/><Relationship Id="rId30" Type="http://schemas.openxmlformats.org/officeDocument/2006/relationships/image" Target="media/image7.png"/><Relationship Id="rId35" Type="http://schemas.openxmlformats.org/officeDocument/2006/relationships/image" Target="media/image90.png"/><Relationship Id="rId43" Type="http://schemas.openxmlformats.org/officeDocument/2006/relationships/image" Target="media/image13.png"/><Relationship Id="rId48" Type="http://schemas.openxmlformats.org/officeDocument/2006/relationships/footer" Target="footer7.xml"/><Relationship Id="rId56" Type="http://schemas.openxmlformats.org/officeDocument/2006/relationships/image" Target="media/image15.png"/><Relationship Id="rId8" Type="http://schemas.openxmlformats.org/officeDocument/2006/relationships/footnotes" Target="footnotes.xml"/><Relationship Id="rId51" Type="http://schemas.openxmlformats.org/officeDocument/2006/relationships/chart" Target="charts/chart3.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image" Target="media/image80.png"/><Relationship Id="rId38" Type="http://schemas.openxmlformats.org/officeDocument/2006/relationships/footer" Target="footer5.xml"/><Relationship Id="rId46" Type="http://schemas.openxmlformats.org/officeDocument/2006/relationships/image" Target="media/image140.png"/><Relationship Id="rId59"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COD\Desktop\2015%20ANNUAL%20REPORT%20DATA,%20NOTES%20ETC\MAIN_2015%20FIGURE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COD\Desktop\2015%20ANNUAL%20REPORT%20DATA,%20NOTES%20ETC\MAIN_2015%20FIGURE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COD\Desktop\2015%20ANNUAL%20REPORT%20DATA,%20NOTES%20ETC\MAIN_2015%20FIGURE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COD\Desktop\2015%20ANNUAL%20REPORT%20DATA,%20NOTES%20ETC\MAIN_2015%20FIGURE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COD\Desktop\2015%20ANNUAL%20REPORT%20DATA,%20NOTES%20ETC\2015%20Lobbying%20Update_Dec%2014%20201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COD\Desktop\2015%20ANNUAL%20REPORT%20DATA,%20NOTES%20ETC\MAIN_2015%20FIGURES.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COD\Desktop\2015%20ANNUAL%20REPORT%20DATA,%20NOTES%20ETC\2015%20Press%20Men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5785221880377501"/>
          <c:y val="0.104628862684177"/>
          <c:w val="0.80738593346871002"/>
          <c:h val="0.68373644088585905"/>
        </c:manualLayout>
      </c:layout>
      <c:bar3DChart>
        <c:barDir val="col"/>
        <c:grouping val="stacked"/>
        <c:varyColors val="0"/>
        <c:ser>
          <c:idx val="0"/>
          <c:order val="0"/>
          <c:tx>
            <c:strRef>
              <c:f>'AR 2015 CHARTS'!$G$21:$G$22</c:f>
              <c:strCache>
                <c:ptCount val="1"/>
                <c:pt idx="0">
                  <c:v>TOTAL</c:v>
                </c:pt>
              </c:strCache>
            </c:strRef>
          </c:tx>
          <c:invertIfNegative val="0"/>
          <c:dPt>
            <c:idx val="0"/>
            <c:invertIfNegative val="0"/>
            <c:bubble3D val="0"/>
            <c:spPr>
              <a:solidFill>
                <a:srgbClr val="FFFF99"/>
              </a:solidFill>
            </c:spPr>
          </c:dPt>
          <c:dPt>
            <c:idx val="1"/>
            <c:invertIfNegative val="0"/>
            <c:bubble3D val="0"/>
            <c:spPr>
              <a:solidFill>
                <a:schemeClr val="accent5">
                  <a:lumMod val="75000"/>
                </a:schemeClr>
              </a:solidFill>
            </c:spPr>
          </c:dPt>
          <c:cat>
            <c:numRef>
              <c:f>'AR 2015 CHARTS'!$F$23:$F$24</c:f>
              <c:numCache>
                <c:formatCode>General</c:formatCode>
                <c:ptCount val="2"/>
                <c:pt idx="0">
                  <c:v>2014</c:v>
                </c:pt>
                <c:pt idx="1">
                  <c:v>2015</c:v>
                </c:pt>
              </c:numCache>
            </c:numRef>
          </c:cat>
          <c:val>
            <c:numRef>
              <c:f>'AR 2015 CHARTS'!$G$23:$G$24</c:f>
              <c:numCache>
                <c:formatCode>General</c:formatCode>
                <c:ptCount val="2"/>
                <c:pt idx="0">
                  <c:v>175</c:v>
                </c:pt>
                <c:pt idx="1">
                  <c:v>192</c:v>
                </c:pt>
              </c:numCache>
            </c:numRef>
          </c:val>
        </c:ser>
        <c:dLbls>
          <c:showLegendKey val="0"/>
          <c:showVal val="0"/>
          <c:showCatName val="0"/>
          <c:showSerName val="0"/>
          <c:showPercent val="0"/>
          <c:showBubbleSize val="0"/>
        </c:dLbls>
        <c:gapWidth val="95"/>
        <c:gapDepth val="95"/>
        <c:shape val="box"/>
        <c:axId val="252004224"/>
        <c:axId val="252005760"/>
        <c:axId val="0"/>
      </c:bar3DChart>
      <c:catAx>
        <c:axId val="252004224"/>
        <c:scaling>
          <c:orientation val="minMax"/>
        </c:scaling>
        <c:delete val="0"/>
        <c:axPos val="b"/>
        <c:numFmt formatCode="General" sourceLinked="1"/>
        <c:majorTickMark val="none"/>
        <c:minorTickMark val="none"/>
        <c:tickLblPos val="nextTo"/>
        <c:crossAx val="252005760"/>
        <c:crosses val="autoZero"/>
        <c:auto val="1"/>
        <c:lblAlgn val="ctr"/>
        <c:lblOffset val="100"/>
        <c:noMultiLvlLbl val="0"/>
      </c:catAx>
      <c:valAx>
        <c:axId val="252005760"/>
        <c:scaling>
          <c:orientation val="minMax"/>
          <c:min val="0"/>
        </c:scaling>
        <c:delete val="0"/>
        <c:axPos val="l"/>
        <c:majorGridlines/>
        <c:numFmt formatCode="General" sourceLinked="1"/>
        <c:majorTickMark val="none"/>
        <c:minorTickMark val="none"/>
        <c:tickLblPos val="nextTo"/>
        <c:crossAx val="252004224"/>
        <c:crosses val="autoZero"/>
        <c:crossBetween val="between"/>
      </c:valAx>
      <c:dTable>
        <c:showHorzBorder val="1"/>
        <c:showVertBorder val="1"/>
        <c:showOutline val="1"/>
        <c:showKeys val="0"/>
        <c:txPr>
          <a:bodyPr/>
          <a:lstStyle/>
          <a:p>
            <a:pPr rtl="0">
              <a:defRPr b="1"/>
            </a:pPr>
            <a:endParaRPr lang="en-US"/>
          </a:p>
        </c:txPr>
      </c:dTable>
      <c:spPr>
        <a:noFill/>
        <a:ln w="25400">
          <a:no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9.1205875475031506E-2"/>
          <c:y val="7.4842527406176598E-2"/>
          <c:w val="0.893545025834936"/>
          <c:h val="0.72388412530716795"/>
        </c:manualLayout>
      </c:layout>
      <c:bar3DChart>
        <c:barDir val="col"/>
        <c:grouping val="stacked"/>
        <c:varyColors val="0"/>
        <c:ser>
          <c:idx val="0"/>
          <c:order val="0"/>
          <c:tx>
            <c:v>TOTAL</c:v>
          </c:tx>
          <c:spPr>
            <a:solidFill>
              <a:schemeClr val="accent5">
                <a:lumMod val="75000"/>
              </a:schemeClr>
            </a:solidFill>
          </c:spPr>
          <c:invertIfNegative val="0"/>
          <c:cat>
            <c:strRef>
              <c:f>'AR 2015 CHARTS'!$T$22:$T$25</c:f>
              <c:strCache>
                <c:ptCount val="4"/>
                <c:pt idx="0">
                  <c:v>Communications</c:v>
                </c:pt>
                <c:pt idx="1">
                  <c:v>Electric</c:v>
                </c:pt>
                <c:pt idx="2">
                  <c:v>Gas</c:v>
                </c:pt>
                <c:pt idx="3">
                  <c:v>Water</c:v>
                </c:pt>
              </c:strCache>
            </c:strRef>
          </c:cat>
          <c:val>
            <c:numRef>
              <c:f>'AR 2015 CHARTS'!$U$22:$U$25</c:f>
              <c:numCache>
                <c:formatCode>0</c:formatCode>
                <c:ptCount val="4"/>
                <c:pt idx="0">
                  <c:v>15</c:v>
                </c:pt>
                <c:pt idx="1">
                  <c:v>131</c:v>
                </c:pt>
                <c:pt idx="2">
                  <c:v>27</c:v>
                </c:pt>
                <c:pt idx="3">
                  <c:v>19</c:v>
                </c:pt>
              </c:numCache>
            </c:numRef>
          </c:val>
        </c:ser>
        <c:dLbls>
          <c:showLegendKey val="0"/>
          <c:showVal val="0"/>
          <c:showCatName val="0"/>
          <c:showSerName val="0"/>
          <c:showPercent val="0"/>
          <c:showBubbleSize val="0"/>
        </c:dLbls>
        <c:gapWidth val="95"/>
        <c:gapDepth val="95"/>
        <c:shape val="box"/>
        <c:axId val="252031744"/>
        <c:axId val="252033280"/>
        <c:axId val="0"/>
      </c:bar3DChart>
      <c:catAx>
        <c:axId val="252031744"/>
        <c:scaling>
          <c:orientation val="minMax"/>
        </c:scaling>
        <c:delete val="0"/>
        <c:axPos val="b"/>
        <c:numFmt formatCode="General" sourceLinked="1"/>
        <c:majorTickMark val="none"/>
        <c:minorTickMark val="none"/>
        <c:tickLblPos val="nextTo"/>
        <c:crossAx val="252033280"/>
        <c:crosses val="autoZero"/>
        <c:auto val="1"/>
        <c:lblAlgn val="ctr"/>
        <c:lblOffset val="100"/>
        <c:noMultiLvlLbl val="0"/>
      </c:catAx>
      <c:valAx>
        <c:axId val="252033280"/>
        <c:scaling>
          <c:orientation val="minMax"/>
        </c:scaling>
        <c:delete val="0"/>
        <c:axPos val="l"/>
        <c:majorGridlines/>
        <c:numFmt formatCode="0" sourceLinked="1"/>
        <c:majorTickMark val="none"/>
        <c:minorTickMark val="none"/>
        <c:tickLblPos val="nextTo"/>
        <c:crossAx val="252031744"/>
        <c:crosses val="autoZero"/>
        <c:crossBetween val="between"/>
      </c:valAx>
      <c:dTable>
        <c:showHorzBorder val="1"/>
        <c:showVertBorder val="1"/>
        <c:showOutline val="1"/>
        <c:showKeys val="0"/>
        <c:txPr>
          <a:bodyPr/>
          <a:lstStyle/>
          <a:p>
            <a:pPr rtl="0">
              <a:defRPr b="1"/>
            </a:pPr>
            <a:endParaRPr lang="en-US"/>
          </a:p>
        </c:txPr>
      </c:dTable>
      <c:spPr>
        <a:noFill/>
        <a:ln w="25400">
          <a:noFill/>
        </a:ln>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1496033283728101"/>
          <c:y val="0.118898866738648"/>
          <c:w val="0.88503957838603498"/>
          <c:h val="0.66691274976584602"/>
        </c:manualLayout>
      </c:layout>
      <c:bar3DChart>
        <c:barDir val="col"/>
        <c:grouping val="stacked"/>
        <c:varyColors val="0"/>
        <c:ser>
          <c:idx val="0"/>
          <c:order val="0"/>
          <c:tx>
            <c:strRef>
              <c:f>'AR 2015 CHARTS'!$G$4:$G$5</c:f>
              <c:strCache>
                <c:ptCount val="1"/>
                <c:pt idx="0">
                  <c:v>TOTAL</c:v>
                </c:pt>
              </c:strCache>
            </c:strRef>
          </c:tx>
          <c:spPr>
            <a:solidFill>
              <a:srgbClr val="FFFF99"/>
            </a:solidFill>
          </c:spPr>
          <c:invertIfNegative val="0"/>
          <c:dPt>
            <c:idx val="1"/>
            <c:invertIfNegative val="0"/>
            <c:bubble3D val="0"/>
            <c:spPr>
              <a:solidFill>
                <a:schemeClr val="accent5">
                  <a:lumMod val="75000"/>
                </a:schemeClr>
              </a:solidFill>
            </c:spPr>
          </c:dPt>
          <c:cat>
            <c:numRef>
              <c:f>'AR 2015 CHARTS'!$F$6:$F$7</c:f>
              <c:numCache>
                <c:formatCode>General</c:formatCode>
                <c:ptCount val="2"/>
                <c:pt idx="0">
                  <c:v>2014</c:v>
                </c:pt>
                <c:pt idx="1">
                  <c:v>2015</c:v>
                </c:pt>
              </c:numCache>
            </c:numRef>
          </c:cat>
          <c:val>
            <c:numRef>
              <c:f>'AR 2015 CHARTS'!$G$6:$G$7</c:f>
              <c:numCache>
                <c:formatCode>General</c:formatCode>
                <c:ptCount val="2"/>
                <c:pt idx="0">
                  <c:v>535</c:v>
                </c:pt>
                <c:pt idx="1">
                  <c:v>605</c:v>
                </c:pt>
              </c:numCache>
            </c:numRef>
          </c:val>
        </c:ser>
        <c:dLbls>
          <c:showLegendKey val="0"/>
          <c:showVal val="0"/>
          <c:showCatName val="0"/>
          <c:showSerName val="0"/>
          <c:showPercent val="0"/>
          <c:showBubbleSize val="0"/>
        </c:dLbls>
        <c:gapWidth val="95"/>
        <c:gapDepth val="95"/>
        <c:shape val="box"/>
        <c:axId val="251597184"/>
        <c:axId val="251598720"/>
        <c:axId val="0"/>
      </c:bar3DChart>
      <c:catAx>
        <c:axId val="251597184"/>
        <c:scaling>
          <c:orientation val="minMax"/>
        </c:scaling>
        <c:delete val="0"/>
        <c:axPos val="b"/>
        <c:numFmt formatCode="General" sourceLinked="1"/>
        <c:majorTickMark val="none"/>
        <c:minorTickMark val="none"/>
        <c:tickLblPos val="nextTo"/>
        <c:crossAx val="251598720"/>
        <c:crosses val="autoZero"/>
        <c:auto val="1"/>
        <c:lblAlgn val="ctr"/>
        <c:lblOffset val="100"/>
        <c:noMultiLvlLbl val="0"/>
      </c:catAx>
      <c:valAx>
        <c:axId val="251598720"/>
        <c:scaling>
          <c:orientation val="minMax"/>
          <c:max val="620"/>
          <c:min val="100"/>
        </c:scaling>
        <c:delete val="0"/>
        <c:axPos val="l"/>
        <c:majorGridlines/>
        <c:numFmt formatCode="General" sourceLinked="1"/>
        <c:majorTickMark val="none"/>
        <c:minorTickMark val="none"/>
        <c:tickLblPos val="nextTo"/>
        <c:crossAx val="251597184"/>
        <c:crosses val="autoZero"/>
        <c:crossBetween val="between"/>
      </c:valAx>
      <c:dTable>
        <c:showHorzBorder val="1"/>
        <c:showVertBorder val="1"/>
        <c:showOutline val="1"/>
        <c:showKeys val="0"/>
        <c:txPr>
          <a:bodyPr/>
          <a:lstStyle/>
          <a:p>
            <a:pPr rtl="0">
              <a:defRPr b="1"/>
            </a:pPr>
            <a:endParaRPr lang="en-US"/>
          </a:p>
        </c:txPr>
      </c:dTable>
      <c:spPr>
        <a:noFill/>
        <a:ln w="25400">
          <a:noFill/>
        </a:ln>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v>TOTAL</c:v>
          </c:tx>
          <c:spPr>
            <a:solidFill>
              <a:schemeClr val="accent5">
                <a:lumMod val="75000"/>
              </a:schemeClr>
            </a:solidFill>
          </c:spPr>
          <c:invertIfNegative val="0"/>
          <c:cat>
            <c:strRef>
              <c:f>'AR 2015 CHARTS'!$T$5:$T$8</c:f>
              <c:strCache>
                <c:ptCount val="4"/>
                <c:pt idx="0">
                  <c:v>Communications</c:v>
                </c:pt>
                <c:pt idx="1">
                  <c:v>Electric</c:v>
                </c:pt>
                <c:pt idx="2">
                  <c:v>Gas</c:v>
                </c:pt>
                <c:pt idx="3">
                  <c:v>Water</c:v>
                </c:pt>
              </c:strCache>
            </c:strRef>
          </c:cat>
          <c:val>
            <c:numRef>
              <c:f>'AR 2015 CHARTS'!$U$5:$U$8</c:f>
              <c:numCache>
                <c:formatCode>0</c:formatCode>
                <c:ptCount val="4"/>
                <c:pt idx="0">
                  <c:v>90</c:v>
                </c:pt>
                <c:pt idx="1">
                  <c:v>391</c:v>
                </c:pt>
                <c:pt idx="2">
                  <c:v>65</c:v>
                </c:pt>
                <c:pt idx="3">
                  <c:v>59</c:v>
                </c:pt>
              </c:numCache>
            </c:numRef>
          </c:val>
        </c:ser>
        <c:dLbls>
          <c:showLegendKey val="0"/>
          <c:showVal val="0"/>
          <c:showCatName val="0"/>
          <c:showSerName val="0"/>
          <c:showPercent val="0"/>
          <c:showBubbleSize val="0"/>
        </c:dLbls>
        <c:gapWidth val="95"/>
        <c:gapDepth val="95"/>
        <c:shape val="box"/>
        <c:axId val="251608064"/>
        <c:axId val="251618048"/>
        <c:axId val="0"/>
      </c:bar3DChart>
      <c:catAx>
        <c:axId val="251608064"/>
        <c:scaling>
          <c:orientation val="minMax"/>
        </c:scaling>
        <c:delete val="0"/>
        <c:axPos val="b"/>
        <c:numFmt formatCode="General" sourceLinked="1"/>
        <c:majorTickMark val="none"/>
        <c:minorTickMark val="none"/>
        <c:tickLblPos val="nextTo"/>
        <c:crossAx val="251618048"/>
        <c:crosses val="autoZero"/>
        <c:auto val="1"/>
        <c:lblAlgn val="ctr"/>
        <c:lblOffset val="100"/>
        <c:noMultiLvlLbl val="0"/>
      </c:catAx>
      <c:valAx>
        <c:axId val="251618048"/>
        <c:scaling>
          <c:orientation val="minMax"/>
        </c:scaling>
        <c:delete val="0"/>
        <c:axPos val="l"/>
        <c:majorGridlines/>
        <c:numFmt formatCode="0" sourceLinked="1"/>
        <c:majorTickMark val="none"/>
        <c:minorTickMark val="none"/>
        <c:tickLblPos val="nextTo"/>
        <c:crossAx val="251608064"/>
        <c:crosses val="autoZero"/>
        <c:crossBetween val="between"/>
      </c:valAx>
      <c:dTable>
        <c:showHorzBorder val="1"/>
        <c:showVertBorder val="1"/>
        <c:showOutline val="1"/>
        <c:showKeys val="0"/>
        <c:txPr>
          <a:bodyPr/>
          <a:lstStyle/>
          <a:p>
            <a:pPr rtl="0">
              <a:defRPr b="1"/>
            </a:pPr>
            <a:endParaRPr lang="en-US"/>
          </a:p>
        </c:txPr>
      </c:dTable>
      <c:spPr>
        <a:noFill/>
        <a:ln w="25400">
          <a:noFill/>
        </a:ln>
      </c:spPr>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v>No. of Meetings</c:v>
          </c:tx>
          <c:spPr>
            <a:solidFill>
              <a:schemeClr val="accent5">
                <a:lumMod val="75000"/>
              </a:schemeClr>
            </a:solidFill>
          </c:spPr>
          <c:invertIfNegative val="0"/>
          <c:cat>
            <c:strRef>
              <c:f>'AR 2015 EP &amp; Newsclips'!$A$2:$D$2</c:f>
              <c:strCache>
                <c:ptCount val="4"/>
                <c:pt idx="0">
                  <c:v>1st Quarter</c:v>
                </c:pt>
                <c:pt idx="1">
                  <c:v>2nd Quarter</c:v>
                </c:pt>
                <c:pt idx="2">
                  <c:v>3rd Quarter</c:v>
                </c:pt>
                <c:pt idx="3">
                  <c:v>4th Quarter</c:v>
                </c:pt>
              </c:strCache>
            </c:strRef>
          </c:cat>
          <c:val>
            <c:numRef>
              <c:f>'AR 2015 EP &amp; Newsclips'!$A$3:$D$3</c:f>
              <c:numCache>
                <c:formatCode>General</c:formatCode>
                <c:ptCount val="4"/>
                <c:pt idx="0">
                  <c:v>29</c:v>
                </c:pt>
                <c:pt idx="1">
                  <c:v>24</c:v>
                </c:pt>
                <c:pt idx="2">
                  <c:v>32</c:v>
                </c:pt>
                <c:pt idx="3">
                  <c:v>29</c:v>
                </c:pt>
              </c:numCache>
            </c:numRef>
          </c:val>
        </c:ser>
        <c:dLbls>
          <c:showLegendKey val="0"/>
          <c:showVal val="0"/>
          <c:showCatName val="0"/>
          <c:showSerName val="0"/>
          <c:showPercent val="0"/>
          <c:showBubbleSize val="0"/>
        </c:dLbls>
        <c:gapWidth val="95"/>
        <c:gapDepth val="95"/>
        <c:shape val="box"/>
        <c:axId val="251631872"/>
        <c:axId val="251633664"/>
        <c:axId val="0"/>
      </c:bar3DChart>
      <c:catAx>
        <c:axId val="25163187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51633664"/>
        <c:crosses val="autoZero"/>
        <c:auto val="1"/>
        <c:lblAlgn val="ctr"/>
        <c:lblOffset val="100"/>
        <c:noMultiLvlLbl val="0"/>
      </c:catAx>
      <c:valAx>
        <c:axId val="251633664"/>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51631872"/>
        <c:crosses val="autoZero"/>
        <c:crossBetween val="between"/>
      </c:valAx>
      <c:dTable>
        <c:showHorzBorder val="1"/>
        <c:showVertBorder val="1"/>
        <c:showOutline val="1"/>
        <c:showKeys val="0"/>
        <c:txPr>
          <a:bodyPr/>
          <a:lstStyle/>
          <a:p>
            <a:pPr rtl="0">
              <a:defRPr sz="1000" b="0" i="0" u="none" strike="noStrike" baseline="0">
                <a:solidFill>
                  <a:srgbClr val="000000"/>
                </a:solidFill>
                <a:latin typeface="Calibri"/>
                <a:ea typeface="Calibri"/>
                <a:cs typeface="Calibri"/>
              </a:defRPr>
            </a:pPr>
            <a:endParaRPr lang="en-US"/>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v>No. of Meetings</c:v>
          </c:tx>
          <c:spPr>
            <a:solidFill>
              <a:srgbClr val="FFFF99"/>
            </a:solidFill>
          </c:spPr>
          <c:invertIfNegative val="0"/>
          <c:cat>
            <c:strRef>
              <c:f>'AR 2015 Commissioner Mtgs'!$A$2:$E$2</c:f>
              <c:strCache>
                <c:ptCount val="5"/>
                <c:pt idx="0">
                  <c:v>Picker</c:v>
                </c:pt>
                <c:pt idx="1">
                  <c:v>Florio</c:v>
                </c:pt>
                <c:pt idx="2">
                  <c:v>Sandoval</c:v>
                </c:pt>
                <c:pt idx="3">
                  <c:v>Peterman</c:v>
                </c:pt>
                <c:pt idx="4">
                  <c:v>Randolph</c:v>
                </c:pt>
              </c:strCache>
            </c:strRef>
          </c:cat>
          <c:val>
            <c:numRef>
              <c:f>'AR 2015 Commissioner Mtgs'!$A$3:$E$3</c:f>
              <c:numCache>
                <c:formatCode>General</c:formatCode>
                <c:ptCount val="5"/>
                <c:pt idx="0">
                  <c:v>2</c:v>
                </c:pt>
                <c:pt idx="1">
                  <c:v>0</c:v>
                </c:pt>
                <c:pt idx="2">
                  <c:v>0</c:v>
                </c:pt>
                <c:pt idx="3">
                  <c:v>15</c:v>
                </c:pt>
                <c:pt idx="4">
                  <c:v>3</c:v>
                </c:pt>
              </c:numCache>
            </c:numRef>
          </c:val>
        </c:ser>
        <c:dLbls>
          <c:showLegendKey val="0"/>
          <c:showVal val="0"/>
          <c:showCatName val="0"/>
          <c:showSerName val="0"/>
          <c:showPercent val="0"/>
          <c:showBubbleSize val="0"/>
        </c:dLbls>
        <c:gapWidth val="95"/>
        <c:gapDepth val="95"/>
        <c:shape val="box"/>
        <c:axId val="251671680"/>
        <c:axId val="251673216"/>
        <c:axId val="0"/>
      </c:bar3DChart>
      <c:catAx>
        <c:axId val="251671680"/>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51673216"/>
        <c:crosses val="autoZero"/>
        <c:auto val="1"/>
        <c:lblAlgn val="ctr"/>
        <c:lblOffset val="100"/>
        <c:noMultiLvlLbl val="0"/>
      </c:catAx>
      <c:valAx>
        <c:axId val="251673216"/>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51671680"/>
        <c:crosses val="autoZero"/>
        <c:crossBetween val="between"/>
      </c:valAx>
      <c:dTable>
        <c:showHorzBorder val="1"/>
        <c:showVertBorder val="1"/>
        <c:showOutline val="1"/>
        <c:showKeys val="0"/>
        <c:txPr>
          <a:bodyPr/>
          <a:lstStyle/>
          <a:p>
            <a:pPr rtl="0">
              <a:defRPr sz="1000" b="0" i="0" u="none" strike="noStrike" baseline="0">
                <a:solidFill>
                  <a:srgbClr val="000000"/>
                </a:solidFill>
                <a:latin typeface="Calibri"/>
                <a:ea typeface="Calibri"/>
                <a:cs typeface="Calibri"/>
              </a:defRPr>
            </a:pPr>
            <a:endParaRPr lang="en-US"/>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v>No. of Newsclips</c:v>
          </c:tx>
          <c:spPr>
            <a:solidFill>
              <a:schemeClr val="accent5">
                <a:lumMod val="50000"/>
              </a:schemeClr>
            </a:solidFill>
          </c:spPr>
          <c:invertIfNegative val="0"/>
          <c:cat>
            <c:strRef>
              <c:f>'AR 2015 Newsclips'!$A$2:$D$2</c:f>
              <c:strCache>
                <c:ptCount val="4"/>
                <c:pt idx="0">
                  <c:v>1st Quarter</c:v>
                </c:pt>
                <c:pt idx="1">
                  <c:v>2nd Quarter</c:v>
                </c:pt>
                <c:pt idx="2">
                  <c:v>3rd Quarter</c:v>
                </c:pt>
                <c:pt idx="3">
                  <c:v>4th Quarter</c:v>
                </c:pt>
              </c:strCache>
            </c:strRef>
          </c:cat>
          <c:val>
            <c:numRef>
              <c:f>'AR 2015 Newsclips'!$A$3:$D$3</c:f>
              <c:numCache>
                <c:formatCode>General</c:formatCode>
                <c:ptCount val="4"/>
                <c:pt idx="0">
                  <c:v>19</c:v>
                </c:pt>
                <c:pt idx="1">
                  <c:v>32</c:v>
                </c:pt>
                <c:pt idx="2">
                  <c:v>42</c:v>
                </c:pt>
                <c:pt idx="3">
                  <c:v>33</c:v>
                </c:pt>
              </c:numCache>
            </c:numRef>
          </c:val>
        </c:ser>
        <c:dLbls>
          <c:showLegendKey val="0"/>
          <c:showVal val="0"/>
          <c:showCatName val="0"/>
          <c:showSerName val="0"/>
          <c:showPercent val="0"/>
          <c:showBubbleSize val="0"/>
        </c:dLbls>
        <c:gapWidth val="95"/>
        <c:gapDepth val="95"/>
        <c:shape val="box"/>
        <c:axId val="251686912"/>
        <c:axId val="251688448"/>
        <c:axId val="0"/>
      </c:bar3DChart>
      <c:catAx>
        <c:axId val="25168691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51688448"/>
        <c:crosses val="autoZero"/>
        <c:auto val="1"/>
        <c:lblAlgn val="ctr"/>
        <c:lblOffset val="100"/>
        <c:noMultiLvlLbl val="0"/>
      </c:catAx>
      <c:valAx>
        <c:axId val="251688448"/>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51686912"/>
        <c:crosses val="autoZero"/>
        <c:crossBetween val="between"/>
      </c:valAx>
      <c:dTable>
        <c:showHorzBorder val="1"/>
        <c:showVertBorder val="1"/>
        <c:showOutline val="1"/>
        <c:showKeys val="0"/>
        <c:txPr>
          <a:bodyPr/>
          <a:lstStyle/>
          <a:p>
            <a:pPr rtl="0">
              <a:defRPr sz="1000" b="0" i="0" u="none" strike="noStrike" baseline="0">
                <a:solidFill>
                  <a:srgbClr val="000000"/>
                </a:solidFill>
                <a:latin typeface="Calibri"/>
                <a:ea typeface="Calibri"/>
                <a:cs typeface="Calibri"/>
              </a:defRPr>
            </a:pPr>
            <a:endParaRPr lang="en-US"/>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4FD049-C80B-4E16-98C5-E327BED71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12316</Words>
  <Characters>70202</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ORA Annual Report</vt:lpstr>
    </vt:vector>
  </TitlesOfParts>
  <Company>cpuc</Company>
  <LinksUpToDate>false</LinksUpToDate>
  <CharactersWithSpaces>82354</CharactersWithSpaces>
  <SharedDoc>false</SharedDoc>
  <HLinks>
    <vt:vector size="102" baseType="variant">
      <vt:variant>
        <vt:i4>7274546</vt:i4>
      </vt:variant>
      <vt:variant>
        <vt:i4>48</vt:i4>
      </vt:variant>
      <vt:variant>
        <vt:i4>0</vt:i4>
      </vt:variant>
      <vt:variant>
        <vt:i4>5</vt:i4>
      </vt:variant>
      <vt:variant>
        <vt:lpwstr>http://ora.ca.gov/WorkArea/linkit.aspx?LinkIdentifier=id&amp;ItemID=2338&amp;libID=2358</vt:lpwstr>
      </vt:variant>
      <vt:variant>
        <vt:lpwstr/>
      </vt:variant>
      <vt:variant>
        <vt:i4>393243</vt:i4>
      </vt:variant>
      <vt:variant>
        <vt:i4>45</vt:i4>
      </vt:variant>
      <vt:variant>
        <vt:i4>0</vt:i4>
      </vt:variant>
      <vt:variant>
        <vt:i4>5</vt:i4>
      </vt:variant>
      <vt:variant>
        <vt:lpwstr>http://leginfo.legislature.ca.gov/faces/billNavClient.xhtml?bill_id=201320140SB743&amp;search_keywords=</vt:lpwstr>
      </vt:variant>
      <vt:variant>
        <vt:lpwstr/>
      </vt:variant>
      <vt:variant>
        <vt:i4>131098</vt:i4>
      </vt:variant>
      <vt:variant>
        <vt:i4>42</vt:i4>
      </vt:variant>
      <vt:variant>
        <vt:i4>0</vt:i4>
      </vt:variant>
      <vt:variant>
        <vt:i4>5</vt:i4>
      </vt:variant>
      <vt:variant>
        <vt:lpwstr>http://leginfo.legislature.ca.gov/faces/billNavClient.xhtml?bill_id=201320140SB656&amp;search_keywords=</vt:lpwstr>
      </vt:variant>
      <vt:variant>
        <vt:lpwstr/>
      </vt:variant>
      <vt:variant>
        <vt:i4>917534</vt:i4>
      </vt:variant>
      <vt:variant>
        <vt:i4>39</vt:i4>
      </vt:variant>
      <vt:variant>
        <vt:i4>0</vt:i4>
      </vt:variant>
      <vt:variant>
        <vt:i4>5</vt:i4>
      </vt:variant>
      <vt:variant>
        <vt:lpwstr>http://leginfo.legislature.ca.gov/faces/billNavClient.xhtml?bill_id=201320140SB418&amp;search_keywords=</vt:lpwstr>
      </vt:variant>
      <vt:variant>
        <vt:lpwstr/>
      </vt:variant>
      <vt:variant>
        <vt:i4>65558</vt:i4>
      </vt:variant>
      <vt:variant>
        <vt:i4>36</vt:i4>
      </vt:variant>
      <vt:variant>
        <vt:i4>0</vt:i4>
      </vt:variant>
      <vt:variant>
        <vt:i4>5</vt:i4>
      </vt:variant>
      <vt:variant>
        <vt:lpwstr>http://leginfo.legislature.ca.gov/faces/billNavClient.xhtml?bill_id=201320140SB291&amp;search_keywords=</vt:lpwstr>
      </vt:variant>
      <vt:variant>
        <vt:lpwstr/>
      </vt:variant>
      <vt:variant>
        <vt:i4>7733354</vt:i4>
      </vt:variant>
      <vt:variant>
        <vt:i4>33</vt:i4>
      </vt:variant>
      <vt:variant>
        <vt:i4>0</vt:i4>
      </vt:variant>
      <vt:variant>
        <vt:i4>5</vt:i4>
      </vt:variant>
      <vt:variant>
        <vt:lpwstr>http://leginfo.legislature.ca.gov/faces/billNavClient.xhtml?bill_id=201320140SB48&amp;search_keywords=</vt:lpwstr>
      </vt:variant>
      <vt:variant>
        <vt:lpwstr/>
      </vt:variant>
      <vt:variant>
        <vt:i4>7405669</vt:i4>
      </vt:variant>
      <vt:variant>
        <vt:i4>30</vt:i4>
      </vt:variant>
      <vt:variant>
        <vt:i4>0</vt:i4>
      </vt:variant>
      <vt:variant>
        <vt:i4>5</vt:i4>
      </vt:variant>
      <vt:variant>
        <vt:lpwstr>http://leginfo.legislature.ca.gov/faces/billNavClient.xhtml?bill_id=201320140SB37&amp;search_keywords=</vt:lpwstr>
      </vt:variant>
      <vt:variant>
        <vt:lpwstr/>
      </vt:variant>
      <vt:variant>
        <vt:i4>5636180</vt:i4>
      </vt:variant>
      <vt:variant>
        <vt:i4>27</vt:i4>
      </vt:variant>
      <vt:variant>
        <vt:i4>0</vt:i4>
      </vt:variant>
      <vt:variant>
        <vt:i4>5</vt:i4>
      </vt:variant>
      <vt:variant>
        <vt:lpwstr>http://leginfo.legislature.ca.gov/faces/billNavClient.xhtml?bill_id=201320140AB1274&amp;search_keywords=</vt:lpwstr>
      </vt:variant>
      <vt:variant>
        <vt:lpwstr/>
      </vt:variant>
      <vt:variant>
        <vt:i4>1769501</vt:i4>
      </vt:variant>
      <vt:variant>
        <vt:i4>24</vt:i4>
      </vt:variant>
      <vt:variant>
        <vt:i4>0</vt:i4>
      </vt:variant>
      <vt:variant>
        <vt:i4>5</vt:i4>
      </vt:variant>
      <vt:variant>
        <vt:lpwstr>http://leginfo.legislature.ca.gov/faces/billNavClient.xhtml?bill_id=201320140AB922&amp;search_keywords=</vt:lpwstr>
      </vt:variant>
      <vt:variant>
        <vt:lpwstr/>
      </vt:variant>
      <vt:variant>
        <vt:i4>1835035</vt:i4>
      </vt:variant>
      <vt:variant>
        <vt:i4>21</vt:i4>
      </vt:variant>
      <vt:variant>
        <vt:i4>0</vt:i4>
      </vt:variant>
      <vt:variant>
        <vt:i4>5</vt:i4>
      </vt:variant>
      <vt:variant>
        <vt:lpwstr>http://leginfo.legislature.ca.gov/faces/billNavClient.xhtml?bill_id=201320140AB448&amp;search_keywords=</vt:lpwstr>
      </vt:variant>
      <vt:variant>
        <vt:lpwstr/>
      </vt:variant>
      <vt:variant>
        <vt:i4>1310749</vt:i4>
      </vt:variant>
      <vt:variant>
        <vt:i4>18</vt:i4>
      </vt:variant>
      <vt:variant>
        <vt:i4>0</vt:i4>
      </vt:variant>
      <vt:variant>
        <vt:i4>5</vt:i4>
      </vt:variant>
      <vt:variant>
        <vt:lpwstr>http://leginfo.legislature.ca.gov/faces/billNavClient.xhtml?bill_id=201320140AB327&amp;search_keywords=</vt:lpwstr>
      </vt:variant>
      <vt:variant>
        <vt:lpwstr/>
      </vt:variant>
      <vt:variant>
        <vt:i4>1179672</vt:i4>
      </vt:variant>
      <vt:variant>
        <vt:i4>15</vt:i4>
      </vt:variant>
      <vt:variant>
        <vt:i4>0</vt:i4>
      </vt:variant>
      <vt:variant>
        <vt:i4>5</vt:i4>
      </vt:variant>
      <vt:variant>
        <vt:lpwstr>http://leginfo.legislature.ca.gov/faces/billNavClient.xhtml?bill_id=201320140AB270&amp;search_keywords=</vt:lpwstr>
      </vt:variant>
      <vt:variant>
        <vt:lpwstr/>
      </vt:variant>
      <vt:variant>
        <vt:i4>1376286</vt:i4>
      </vt:variant>
      <vt:variant>
        <vt:i4>12</vt:i4>
      </vt:variant>
      <vt:variant>
        <vt:i4>0</vt:i4>
      </vt:variant>
      <vt:variant>
        <vt:i4>5</vt:i4>
      </vt:variant>
      <vt:variant>
        <vt:lpwstr>http://leginfo.legislature.ca.gov/faces/billNavClient.xhtml?bill_id=201320140AB217&amp;search_keywords=</vt:lpwstr>
      </vt:variant>
      <vt:variant>
        <vt:lpwstr/>
      </vt:variant>
      <vt:variant>
        <vt:i4>1441816</vt:i4>
      </vt:variant>
      <vt:variant>
        <vt:i4>9</vt:i4>
      </vt:variant>
      <vt:variant>
        <vt:i4>0</vt:i4>
      </vt:variant>
      <vt:variant>
        <vt:i4>5</vt:i4>
      </vt:variant>
      <vt:variant>
        <vt:lpwstr>http://leginfo.legislature.ca.gov/faces/billNavClient.xhtml?bill_id=201320140AB177&amp;search_keywords=</vt:lpwstr>
      </vt:variant>
      <vt:variant>
        <vt:lpwstr/>
      </vt:variant>
      <vt:variant>
        <vt:i4>4718659</vt:i4>
      </vt:variant>
      <vt:variant>
        <vt:i4>0</vt:i4>
      </vt:variant>
      <vt:variant>
        <vt:i4>0</vt:i4>
      </vt:variant>
      <vt:variant>
        <vt:i4>5</vt:i4>
      </vt:variant>
      <vt:variant>
        <vt:lpwstr>http://www.ora.ca.gov/AR2013.aspx</vt:lpwstr>
      </vt:variant>
      <vt:variant>
        <vt:lpwstr/>
      </vt:variant>
      <vt:variant>
        <vt:i4>4718659</vt:i4>
      </vt:variant>
      <vt:variant>
        <vt:i4>3</vt:i4>
      </vt:variant>
      <vt:variant>
        <vt:i4>0</vt:i4>
      </vt:variant>
      <vt:variant>
        <vt:i4>5</vt:i4>
      </vt:variant>
      <vt:variant>
        <vt:lpwstr>http://www.ora.ca.gov/AR2013.aspx</vt:lpwstr>
      </vt:variant>
      <vt:variant>
        <vt:lpwstr/>
      </vt:variant>
      <vt:variant>
        <vt:i4>2621564</vt:i4>
      </vt:variant>
      <vt:variant>
        <vt:i4>0</vt:i4>
      </vt:variant>
      <vt:variant>
        <vt:i4>0</vt:i4>
      </vt:variant>
      <vt:variant>
        <vt:i4>5</vt:i4>
      </vt:variant>
      <vt:variant>
        <vt:lpwstr>http://www.ora.ca.gov/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ORA Annual Report</dc:title>
  <dc:creator>KN2</dc:creator>
  <cp:lastModifiedBy>Matthew Marcus</cp:lastModifiedBy>
  <cp:revision>2</cp:revision>
  <cp:lastPrinted>2016-01-06T23:08:00Z</cp:lastPrinted>
  <dcterms:created xsi:type="dcterms:W3CDTF">2016-01-10T18:35:00Z</dcterms:created>
  <dcterms:modified xsi:type="dcterms:W3CDTF">2016-01-10T18:35:00Z</dcterms:modified>
</cp:coreProperties>
</file>